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77" w:rsidRDefault="003E0677">
      <w:pPr>
        <w:pStyle w:val="Heading3"/>
        <w:spacing w:before="64"/>
        <w:ind w:right="337"/>
        <w:jc w:val="center"/>
      </w:pPr>
      <w:r>
        <w:t>Извещение</w:t>
      </w:r>
    </w:p>
    <w:p w:rsidR="003E0677" w:rsidRPr="00070CBF" w:rsidRDefault="003E0677"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3E0677" w:rsidRPr="00070CBF" w:rsidRDefault="003E0677"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E0677" w:rsidRPr="00070CBF" w:rsidRDefault="003E067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3E0677" w:rsidRPr="001B1759" w:rsidRDefault="003E0677"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E0677" w:rsidRPr="001B1759" w:rsidRDefault="003E0677"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3E0677" w:rsidRPr="001B1759" w:rsidRDefault="003E0677"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3E0677" w:rsidRPr="001B1759" w:rsidRDefault="003E0677"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05.03.2020 г.  по 16.04.2020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3E0677" w:rsidRPr="001B1759" w:rsidRDefault="003E0677"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3E0677" w:rsidRPr="009218B8" w:rsidRDefault="003E0677"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sz w:val="24"/>
          <w:szCs w:val="24"/>
          <w:u w:val="single"/>
        </w:rPr>
        <w:t>24</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w:t>
      </w:r>
      <w:r w:rsidRPr="00F0159B">
        <w:rPr>
          <w:b/>
          <w:sz w:val="24"/>
          <w:szCs w:val="24"/>
          <w:u w:val="single"/>
        </w:rPr>
        <w:t>00</w:t>
      </w:r>
      <w:r>
        <w:rPr>
          <w:b/>
          <w:sz w:val="24"/>
          <w:szCs w:val="24"/>
          <w:u w:val="single"/>
        </w:rPr>
        <w:t xml:space="preserve"> </w:t>
      </w:r>
      <w:r w:rsidRPr="00F0159B">
        <w:rPr>
          <w:b/>
          <w:sz w:val="24"/>
          <w:szCs w:val="24"/>
        </w:rPr>
        <w:t>по</w:t>
      </w:r>
      <w:r w:rsidRPr="009218B8">
        <w:rPr>
          <w:b/>
          <w:sz w:val="24"/>
          <w:szCs w:val="24"/>
        </w:rPr>
        <w:t xml:space="preserve"> адресу: 456770, Челябинская область, г. Снежинск, ул. Свердлова, д. 24, 2этаж, зал заседаний.</w:t>
      </w:r>
    </w:p>
    <w:p w:rsidR="003E0677" w:rsidRPr="0017012A" w:rsidRDefault="003E0677">
      <w:pPr>
        <w:pStyle w:val="BodyText"/>
        <w:spacing w:before="5"/>
        <w:ind w:left="0"/>
      </w:pPr>
    </w:p>
    <w:p w:rsidR="003E0677" w:rsidRDefault="003E0677">
      <w:pPr>
        <w:pStyle w:val="Heading3"/>
        <w:ind w:left="1026"/>
      </w:pPr>
      <w:r>
        <w:t>В безвозмездное пользование предоставляется следующее недвижимое имущество, включенное в Перечень:</w:t>
      </w:r>
    </w:p>
    <w:p w:rsidR="003E0677" w:rsidRPr="00471C90" w:rsidRDefault="003E0677">
      <w:pPr>
        <w:pStyle w:val="BodyText"/>
        <w:ind w:left="0"/>
      </w:pPr>
      <w:r w:rsidRPr="00471C90">
        <w:t>Нежилое помещение № 50, расположенное по адресу: г.Снежинск, ул. 40 лет Октября, д.10, пом.50 (подвал) -, кадастровый номер здания 74:40:0101003:877, общая площадь 438,9 кв.м.</w:t>
      </w:r>
    </w:p>
    <w:p w:rsidR="003E0677" w:rsidRDefault="003E0677" w:rsidP="00B7608F">
      <w:pPr>
        <w:tabs>
          <w:tab w:val="left" w:pos="1270"/>
        </w:tabs>
        <w:ind w:right="179"/>
        <w:rPr>
          <w:b/>
          <w:sz w:val="23"/>
        </w:rPr>
      </w:pPr>
      <w:r>
        <w:rPr>
          <w:b/>
          <w:sz w:val="24"/>
        </w:rPr>
        <w:t xml:space="preserve"> </w:t>
      </w:r>
    </w:p>
    <w:p w:rsidR="003E0677" w:rsidRDefault="003E0677" w:rsidP="00F806A1">
      <w:pPr>
        <w:pStyle w:val="BodyText"/>
        <w:spacing w:before="1"/>
        <w:ind w:left="0" w:right="4641"/>
      </w:pPr>
      <w:r>
        <w:t xml:space="preserve">Имущество находится в удовлетворительном состоянии. </w:t>
      </w:r>
    </w:p>
    <w:p w:rsidR="003E0677" w:rsidRDefault="003E0677" w:rsidP="00F806A1">
      <w:pPr>
        <w:pStyle w:val="BodyText"/>
        <w:spacing w:before="1"/>
        <w:ind w:left="0" w:right="4641"/>
      </w:pPr>
      <w:r>
        <w:t>Ремонт не требуется.</w:t>
      </w:r>
    </w:p>
    <w:p w:rsidR="003E0677" w:rsidRDefault="003E0677" w:rsidP="00F806A1">
      <w:pPr>
        <w:pStyle w:val="BodyText"/>
        <w:spacing w:before="1"/>
        <w:ind w:left="0"/>
      </w:pPr>
      <w:r>
        <w:t xml:space="preserve">По вопросам осмотра имущества обращаться в МБУ «ФСЦ» по телефону: </w:t>
      </w:r>
    </w:p>
    <w:p w:rsidR="003E0677" w:rsidRDefault="003E0677" w:rsidP="00F806A1">
      <w:pPr>
        <w:pStyle w:val="BodyText"/>
        <w:spacing w:before="1"/>
        <w:ind w:left="0"/>
      </w:pPr>
      <w:r w:rsidRPr="009218B8">
        <w:t>9-28-37, 3-77-43.</w:t>
      </w:r>
    </w:p>
    <w:p w:rsidR="003E0677" w:rsidRDefault="003E0677" w:rsidP="00F806A1">
      <w:pPr>
        <w:pStyle w:val="BodyText"/>
        <w:ind w:left="0"/>
      </w:pPr>
      <w:r>
        <w:t>Срок действия договора – до 5 лет.</w:t>
      </w:r>
    </w:p>
    <w:p w:rsidR="003E0677" w:rsidRDefault="003E0677" w:rsidP="00F806A1">
      <w:pPr>
        <w:pStyle w:val="BodyText"/>
        <w:ind w:left="0"/>
      </w:pPr>
      <w:r>
        <w:t>Форма договора безвозмездного пользования в Приложении 2 к настоящему извещению.</w:t>
      </w:r>
    </w:p>
    <w:p w:rsidR="003E0677" w:rsidRDefault="003E0677" w:rsidP="00F806A1">
      <w:pPr>
        <w:pStyle w:val="BodyText"/>
        <w:ind w:left="0"/>
      </w:pPr>
    </w:p>
    <w:p w:rsidR="003E0677" w:rsidRDefault="003E0677" w:rsidP="00855E1A">
      <w:pPr>
        <w:pStyle w:val="Heading3"/>
        <w:spacing w:before="73"/>
        <w:jc w:val="center"/>
      </w:pPr>
      <w:bookmarkStart w:id="0" w:name="_GoBack"/>
      <w:bookmarkEnd w:id="0"/>
      <w:r>
        <w:t>Условия предоставления в безвозмездное пользование имущества, включенного в Перечень</w:t>
      </w:r>
    </w:p>
    <w:p w:rsidR="003E0677" w:rsidRDefault="003E0677">
      <w:pPr>
        <w:pStyle w:val="BodyText"/>
        <w:spacing w:before="8"/>
        <w:ind w:left="0"/>
        <w:rPr>
          <w:b/>
          <w:sz w:val="23"/>
        </w:rPr>
      </w:pPr>
    </w:p>
    <w:p w:rsidR="003E0677" w:rsidRPr="00855E1A" w:rsidRDefault="003E0677"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3E0677" w:rsidRPr="00855E1A" w:rsidRDefault="003E0677"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3E0677" w:rsidRPr="00855E1A" w:rsidRDefault="003E0677"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3E0677" w:rsidRPr="00855E1A" w:rsidRDefault="003E0677"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3E0677" w:rsidRPr="00855E1A" w:rsidRDefault="003E0677"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3E0677" w:rsidRPr="00855E1A" w:rsidRDefault="003E0677"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3E0677" w:rsidRPr="00855E1A" w:rsidRDefault="003E0677"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E0677" w:rsidRPr="00855E1A" w:rsidRDefault="003E0677"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3E0677" w:rsidRPr="00855E1A" w:rsidRDefault="003E0677"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3E0677" w:rsidRPr="00855E1A" w:rsidRDefault="003E0677"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3E0677" w:rsidRPr="00855E1A" w:rsidRDefault="003E0677"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3E0677" w:rsidRDefault="003E0677">
      <w:pPr>
        <w:pStyle w:val="BodyText"/>
        <w:spacing w:before="2"/>
        <w:ind w:left="0"/>
      </w:pPr>
    </w:p>
    <w:p w:rsidR="003E0677" w:rsidRDefault="003E0677">
      <w:pPr>
        <w:pStyle w:val="Heading3"/>
        <w:ind w:left="333" w:right="340"/>
        <w:jc w:val="center"/>
      </w:pPr>
      <w:r>
        <w:t>Требования к содержанию заявления</w:t>
      </w:r>
    </w:p>
    <w:p w:rsidR="003E0677" w:rsidRDefault="003E0677">
      <w:pPr>
        <w:pStyle w:val="BodyText"/>
        <w:spacing w:before="6"/>
        <w:ind w:left="0"/>
        <w:rPr>
          <w:b/>
          <w:sz w:val="23"/>
        </w:rPr>
      </w:pPr>
    </w:p>
    <w:p w:rsidR="003E0677" w:rsidRPr="00493D9B" w:rsidRDefault="003E0677"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3E0677" w:rsidRPr="00493D9B" w:rsidRDefault="003E0677"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3E0677" w:rsidRPr="00493D9B" w:rsidRDefault="003E0677"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3E0677" w:rsidRPr="00493D9B" w:rsidRDefault="003E0677"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3E0677" w:rsidRPr="00493D9B" w:rsidRDefault="003E0677"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3E0677" w:rsidRPr="00493D9B" w:rsidRDefault="003E0677" w:rsidP="00493D9B">
      <w:pPr>
        <w:ind w:firstLine="720"/>
        <w:jc w:val="both"/>
        <w:rPr>
          <w:sz w:val="24"/>
          <w:szCs w:val="24"/>
        </w:rPr>
      </w:pPr>
      <w:r w:rsidRPr="00493D9B">
        <w:rPr>
          <w:sz w:val="24"/>
          <w:szCs w:val="24"/>
        </w:rPr>
        <w:t>4) сведения об имуществе:</w:t>
      </w:r>
    </w:p>
    <w:p w:rsidR="003E0677" w:rsidRPr="00493D9B" w:rsidRDefault="003E0677"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3E0677" w:rsidRPr="00493D9B" w:rsidRDefault="003E0677"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3E0677" w:rsidRPr="00493D9B" w:rsidRDefault="003E0677"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3E0677" w:rsidRPr="00493D9B" w:rsidRDefault="003E0677"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3E0677" w:rsidRPr="00493D9B" w:rsidRDefault="003E0677"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3E0677" w:rsidRPr="00493D9B" w:rsidRDefault="003E0677"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3E0677" w:rsidRPr="00493D9B" w:rsidRDefault="003E0677"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3E0677" w:rsidRPr="00493D9B" w:rsidRDefault="003E0677"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3E0677" w:rsidRPr="00493D9B" w:rsidRDefault="003E0677"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3E0677" w:rsidRPr="00493D9B" w:rsidRDefault="003E0677"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3E0677" w:rsidRPr="00493D9B" w:rsidRDefault="003E0677"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3E0677" w:rsidRPr="00493D9B" w:rsidRDefault="003E0677"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3E0677" w:rsidRPr="00493D9B" w:rsidRDefault="003E0677"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3E0677" w:rsidRPr="00493D9B" w:rsidRDefault="003E0677"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3E0677" w:rsidRPr="00493D9B" w:rsidRDefault="003E0677" w:rsidP="00493D9B">
      <w:pPr>
        <w:ind w:firstLine="720"/>
        <w:jc w:val="both"/>
        <w:rPr>
          <w:sz w:val="24"/>
          <w:szCs w:val="24"/>
        </w:rPr>
      </w:pPr>
      <w:r w:rsidRPr="00493D9B">
        <w:rPr>
          <w:sz w:val="24"/>
          <w:szCs w:val="24"/>
        </w:rPr>
        <w:t>16) перечень прилагаемых документов.</w:t>
      </w:r>
    </w:p>
    <w:p w:rsidR="003E0677" w:rsidRPr="00493D9B" w:rsidRDefault="003E0677" w:rsidP="00493D9B">
      <w:pPr>
        <w:ind w:firstLine="720"/>
        <w:jc w:val="both"/>
        <w:rPr>
          <w:sz w:val="24"/>
          <w:szCs w:val="24"/>
        </w:rPr>
      </w:pPr>
      <w:r w:rsidRPr="00493D9B">
        <w:rPr>
          <w:sz w:val="24"/>
          <w:szCs w:val="24"/>
        </w:rPr>
        <w:t>К заявлению прилагаются следующие документы:</w:t>
      </w:r>
    </w:p>
    <w:p w:rsidR="003E0677" w:rsidRPr="00493D9B" w:rsidRDefault="003E0677"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3E0677" w:rsidRPr="00493D9B" w:rsidRDefault="003E0677"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3E0677" w:rsidRPr="00493D9B" w:rsidRDefault="003E0677"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3E0677" w:rsidRPr="00493D9B" w:rsidRDefault="003E0677"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3E0677" w:rsidRPr="00493D9B" w:rsidRDefault="003E0677"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3E0677" w:rsidRPr="00493D9B" w:rsidRDefault="003E0677"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3E0677" w:rsidRPr="00493D9B" w:rsidRDefault="003E0677"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3E0677" w:rsidRPr="00493D9B" w:rsidRDefault="003E0677"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3E0677" w:rsidRPr="00493D9B" w:rsidRDefault="003E0677"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3E0677" w:rsidRPr="00493D9B" w:rsidRDefault="003E0677"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3E0677" w:rsidRPr="00493D9B" w:rsidRDefault="003E0677"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3E0677" w:rsidRPr="00493D9B" w:rsidRDefault="003E0677"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3E0677" w:rsidRPr="00493D9B" w:rsidRDefault="003E0677"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3E0677" w:rsidRDefault="003E0677">
      <w:pPr>
        <w:pStyle w:val="BodyText"/>
        <w:ind w:right="180" w:firstLine="707"/>
        <w:jc w:val="both"/>
      </w:pPr>
    </w:p>
    <w:p w:rsidR="003E0677" w:rsidRDefault="003E0677">
      <w:pPr>
        <w:pStyle w:val="BodyText"/>
        <w:ind w:right="180" w:firstLine="707"/>
        <w:jc w:val="both"/>
      </w:pPr>
      <w:r>
        <w:br w:type="page"/>
      </w:r>
    </w:p>
    <w:p w:rsidR="003E0677" w:rsidRDefault="003E0677"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E0677" w:rsidRDefault="003E0677">
      <w:pPr>
        <w:pStyle w:val="BodyText"/>
        <w:ind w:left="0"/>
        <w:rPr>
          <w:sz w:val="22"/>
        </w:rPr>
      </w:pPr>
    </w:p>
    <w:p w:rsidR="003E0677" w:rsidRDefault="003E0677">
      <w:pPr>
        <w:pStyle w:val="BodyText"/>
        <w:ind w:left="6132" w:right="183" w:hanging="468"/>
        <w:jc w:val="right"/>
      </w:pPr>
      <w:r>
        <w:t>В муниципальное бюджетное учреждение «Физкультурно – спортивный центр»</w:t>
      </w:r>
    </w:p>
    <w:p w:rsidR="003E0677" w:rsidRDefault="003E0677">
      <w:pPr>
        <w:pStyle w:val="BodyText"/>
        <w:spacing w:before="6"/>
        <w:ind w:left="0"/>
        <w:rPr>
          <w:sz w:val="22"/>
        </w:rPr>
      </w:pPr>
    </w:p>
    <w:p w:rsidR="003E0677" w:rsidRPr="00ED5ADB" w:rsidRDefault="003E0677" w:rsidP="00ED5ADB">
      <w:pPr>
        <w:jc w:val="center"/>
        <w:rPr>
          <w:bCs/>
          <w:color w:val="000000"/>
          <w:sz w:val="24"/>
          <w:szCs w:val="24"/>
        </w:rPr>
      </w:pPr>
      <w:r w:rsidRPr="00ED5ADB">
        <w:rPr>
          <w:bCs/>
          <w:color w:val="000000"/>
          <w:sz w:val="24"/>
          <w:szCs w:val="24"/>
        </w:rPr>
        <w:t>Заявление</w:t>
      </w:r>
    </w:p>
    <w:p w:rsidR="003E0677" w:rsidRPr="00ED5ADB" w:rsidRDefault="003E0677"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3E0677" w:rsidRPr="00ED5ADB" w:rsidRDefault="003E0677"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3E0677" w:rsidRPr="00ED5ADB" w:rsidRDefault="003E0677"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3E0677" w:rsidRPr="00ED5ADB" w:rsidRDefault="003E0677"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3E0677" w:rsidRPr="00ED5ADB" w:rsidRDefault="003E0677"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3E0677" w:rsidRPr="00ED5ADB" w:rsidRDefault="003E0677"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3E0677" w:rsidRPr="00ED5ADB" w:rsidRDefault="003E0677"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3E0677" w:rsidRPr="00ED5ADB" w:rsidRDefault="003E0677"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3E0677" w:rsidRPr="00ED5ADB" w:rsidRDefault="003E0677"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3E0677" w:rsidRPr="00ED5ADB" w:rsidRDefault="003E0677"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3E0677" w:rsidRPr="00ED5ADB" w:rsidRDefault="003E0677"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3E0677" w:rsidRPr="00ED5ADB" w:rsidRDefault="003E0677"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об имуществе</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3E0677" w:rsidRPr="00ED5ADB" w:rsidRDefault="003E0677"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3E0677" w:rsidRPr="00ED5ADB" w:rsidRDefault="003E0677"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3E0677" w:rsidRPr="00ED5ADB" w:rsidRDefault="003E0677"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c>
          <w:tcPr>
            <w:tcW w:w="780" w:type="dxa"/>
            <w:gridSpan w:val="2"/>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3E0677" w:rsidRPr="00ED5ADB" w:rsidRDefault="003E0677"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3E0677" w:rsidRPr="00ED5ADB" w:rsidRDefault="003E0677"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3E0677" w:rsidRPr="00ED5ADB" w:rsidRDefault="003E0677"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3E0677" w:rsidRPr="00ED5ADB" w:rsidRDefault="003E0677"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3E0677" w:rsidRPr="00ED5ADB" w:rsidRDefault="003E0677"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3E0677" w:rsidRPr="00ED5ADB" w:rsidRDefault="003E0677" w:rsidP="00DD0F48">
            <w:pPr>
              <w:overflowPunct w:val="0"/>
              <w:adjustRightInd w:val="0"/>
              <w:jc w:val="center"/>
              <w:rPr>
                <w:b/>
                <w:bCs/>
                <w:color w:val="000000"/>
                <w:sz w:val="24"/>
                <w:szCs w:val="24"/>
              </w:rPr>
            </w:pPr>
          </w:p>
        </w:tc>
      </w:tr>
      <w:tr w:rsidR="003E0677" w:rsidRPr="00ED5ADB" w:rsidTr="00DD0F48">
        <w:trPr>
          <w:gridBefore w:val="1"/>
        </w:trPr>
        <w:tc>
          <w:tcPr>
            <w:tcW w:w="780" w:type="dxa"/>
          </w:tcPr>
          <w:p w:rsidR="003E0677" w:rsidRPr="00ED5ADB" w:rsidRDefault="003E0677"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3E0677" w:rsidRPr="00ED5ADB" w:rsidRDefault="003E0677"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3E0677" w:rsidRPr="00ED5ADB" w:rsidRDefault="003E0677" w:rsidP="00DD0F48">
            <w:pPr>
              <w:overflowPunct w:val="0"/>
              <w:adjustRightInd w:val="0"/>
              <w:jc w:val="center"/>
              <w:rPr>
                <w:b/>
                <w:bCs/>
                <w:color w:val="000000"/>
                <w:sz w:val="24"/>
                <w:szCs w:val="24"/>
              </w:rPr>
            </w:pPr>
          </w:p>
        </w:tc>
      </w:tr>
    </w:tbl>
    <w:p w:rsidR="003E0677" w:rsidRPr="00ED5ADB" w:rsidRDefault="003E0677"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3E0677" w:rsidRPr="00ED5ADB" w:rsidRDefault="003E0677" w:rsidP="00ED5ADB">
      <w:pPr>
        <w:rPr>
          <w:bCs/>
          <w:color w:val="000000"/>
          <w:sz w:val="24"/>
          <w:szCs w:val="24"/>
        </w:rPr>
      </w:pPr>
      <w:r w:rsidRPr="00ED5ADB">
        <w:rPr>
          <w:bCs/>
          <w:color w:val="000000"/>
          <w:sz w:val="24"/>
          <w:szCs w:val="24"/>
        </w:rPr>
        <w:t> ____________________________________ __________ _________________</w:t>
      </w:r>
    </w:p>
    <w:p w:rsidR="003E0677" w:rsidRPr="00ED5ADB" w:rsidRDefault="003E067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3E0677" w:rsidRPr="00ED5ADB" w:rsidRDefault="003E067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3E0677" w:rsidRPr="00ED5ADB" w:rsidRDefault="003E0677" w:rsidP="00ED5ADB">
      <w:pPr>
        <w:rPr>
          <w:bCs/>
          <w:color w:val="000000"/>
          <w:sz w:val="24"/>
          <w:szCs w:val="24"/>
        </w:rPr>
      </w:pPr>
      <w:r w:rsidRPr="00ED5ADB">
        <w:rPr>
          <w:bCs/>
          <w:color w:val="000000"/>
          <w:sz w:val="24"/>
          <w:szCs w:val="24"/>
        </w:rPr>
        <w:t> </w:t>
      </w:r>
    </w:p>
    <w:p w:rsidR="003E0677" w:rsidRPr="00ED5ADB" w:rsidRDefault="003E067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3E0677" w:rsidRPr="00ED5ADB" w:rsidRDefault="003E0677"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3E0677" w:rsidRDefault="003E0677">
      <w:pPr>
        <w:pStyle w:val="BodyText"/>
        <w:spacing w:before="5"/>
        <w:ind w:left="0"/>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p>
    <w:p w:rsidR="003E0677" w:rsidRDefault="003E0677">
      <w:pPr>
        <w:pStyle w:val="BodyText"/>
        <w:ind w:left="0"/>
        <w:rPr>
          <w:sz w:val="26"/>
        </w:rPr>
      </w:pPr>
      <w:r>
        <w:rPr>
          <w:sz w:val="26"/>
        </w:rPr>
        <w:br w:type="page"/>
      </w:r>
    </w:p>
    <w:p w:rsidR="003E0677" w:rsidRDefault="003E0677">
      <w:pPr>
        <w:pStyle w:val="BodyText"/>
        <w:ind w:left="0"/>
        <w:rPr>
          <w:sz w:val="26"/>
        </w:rPr>
      </w:pPr>
    </w:p>
    <w:p w:rsidR="003E0677" w:rsidRDefault="003E0677">
      <w:pPr>
        <w:pStyle w:val="Heading3"/>
        <w:spacing w:before="76"/>
        <w:ind w:right="335"/>
        <w:jc w:val="center"/>
      </w:pPr>
      <w:r>
        <w:t>РЕКОМЕНДАЦИИ ПО ЗАПОЛНЕНИЮ ЗАЯВЛЕНИЯ</w:t>
      </w:r>
    </w:p>
    <w:p w:rsidR="003E0677" w:rsidRDefault="003E0677">
      <w:pPr>
        <w:pStyle w:val="BodyText"/>
        <w:spacing w:before="7"/>
        <w:ind w:left="0"/>
        <w:rPr>
          <w:b/>
          <w:sz w:val="23"/>
        </w:rPr>
      </w:pPr>
    </w:p>
    <w:p w:rsidR="003E0677" w:rsidRDefault="003E0677"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3E0677" w:rsidRDefault="003E0677"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3E0677" w:rsidRDefault="003E0677"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3E0677" w:rsidRDefault="003E0677"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3E0677" w:rsidRDefault="003E0677"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3E0677" w:rsidRDefault="003E0677"/>
    <w:p w:rsidR="003E0677" w:rsidRDefault="003E0677">
      <w:pPr>
        <w:sectPr w:rsidR="003E0677" w:rsidSect="0017012A">
          <w:pgSz w:w="11910" w:h="16840"/>
          <w:pgMar w:top="1134" w:right="1134" w:bottom="1134" w:left="1474" w:header="720" w:footer="720" w:gutter="0"/>
          <w:cols w:space="720"/>
        </w:sectPr>
      </w:pPr>
    </w:p>
    <w:p w:rsidR="003E0677" w:rsidRDefault="003E0677"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3E0677" w:rsidRDefault="003E0677" w:rsidP="00B218B8">
      <w:pPr>
        <w:pStyle w:val="Heading3"/>
        <w:spacing w:before="97" w:line="828" w:lineRule="exact"/>
        <w:ind w:left="4680" w:right="168" w:firstLine="571"/>
        <w:rPr>
          <w:b w:val="0"/>
        </w:rPr>
      </w:pPr>
      <w:r>
        <w:t xml:space="preserve">Форма договора безвозмездного пользования </w:t>
      </w:r>
    </w:p>
    <w:p w:rsidR="003E0677" w:rsidRDefault="003E0677">
      <w:pPr>
        <w:pStyle w:val="BodyText"/>
        <w:ind w:left="0"/>
        <w:rPr>
          <w:b/>
          <w:sz w:val="26"/>
        </w:rPr>
      </w:pPr>
    </w:p>
    <w:p w:rsidR="003E0677" w:rsidRPr="00E47287" w:rsidRDefault="003E0677"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3E0677" w:rsidRPr="00E47287" w:rsidRDefault="003E0677"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3E0677" w:rsidRDefault="003E0677"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3E0677" w:rsidRPr="00E47287" w:rsidRDefault="003E0677"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3E0677" w:rsidRPr="00E47287" w:rsidRDefault="003E0677" w:rsidP="00B218B8">
      <w:pPr>
        <w:pStyle w:val="1"/>
        <w:tabs>
          <w:tab w:val="left" w:pos="-2552"/>
        </w:tabs>
        <w:ind w:left="0" w:firstLine="540"/>
        <w:jc w:val="center"/>
        <w:rPr>
          <w:b/>
          <w:sz w:val="25"/>
          <w:szCs w:val="25"/>
        </w:rPr>
      </w:pPr>
    </w:p>
    <w:p w:rsidR="003E0677" w:rsidRPr="00E47287" w:rsidRDefault="003E0677" w:rsidP="00B218B8">
      <w:pPr>
        <w:pStyle w:val="1"/>
        <w:tabs>
          <w:tab w:val="left" w:pos="-2552"/>
        </w:tabs>
        <w:ind w:left="0" w:firstLine="540"/>
        <w:jc w:val="center"/>
        <w:rPr>
          <w:b/>
          <w:sz w:val="26"/>
          <w:szCs w:val="26"/>
        </w:rPr>
      </w:pPr>
      <w:r w:rsidRPr="00E47287">
        <w:rPr>
          <w:b/>
          <w:sz w:val="26"/>
          <w:szCs w:val="26"/>
        </w:rPr>
        <w:t>1. Предмет договора</w:t>
      </w:r>
    </w:p>
    <w:p w:rsidR="003E0677" w:rsidRDefault="003E0677" w:rsidP="00B218B8">
      <w:pPr>
        <w:pStyle w:val="1"/>
        <w:tabs>
          <w:tab w:val="left" w:pos="-2552"/>
        </w:tabs>
        <w:ind w:left="0" w:firstLine="540"/>
        <w:jc w:val="both"/>
        <w:rPr>
          <w:sz w:val="26"/>
          <w:szCs w:val="26"/>
        </w:rPr>
      </w:pPr>
    </w:p>
    <w:p w:rsidR="003E0677" w:rsidRDefault="003E0677"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3E0677" w:rsidRPr="00E47287" w:rsidRDefault="003E0677"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3E0677" w:rsidRPr="00E26EB8" w:rsidRDefault="003E0677"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3E0677" w:rsidRPr="00E47287" w:rsidRDefault="003E0677" w:rsidP="00B218B8">
      <w:pPr>
        <w:pStyle w:val="1"/>
        <w:tabs>
          <w:tab w:val="left" w:pos="-2552"/>
        </w:tabs>
        <w:ind w:left="0" w:firstLine="540"/>
        <w:jc w:val="both"/>
        <w:rPr>
          <w:b/>
          <w:sz w:val="26"/>
          <w:szCs w:val="26"/>
        </w:rPr>
      </w:pPr>
    </w:p>
    <w:p w:rsidR="003E0677" w:rsidRPr="00E47287" w:rsidRDefault="003E0677" w:rsidP="00B218B8">
      <w:pPr>
        <w:pStyle w:val="1"/>
        <w:tabs>
          <w:tab w:val="left" w:pos="-2552"/>
        </w:tabs>
        <w:ind w:left="0" w:firstLine="540"/>
        <w:jc w:val="center"/>
        <w:rPr>
          <w:b/>
          <w:sz w:val="26"/>
          <w:szCs w:val="26"/>
        </w:rPr>
      </w:pPr>
      <w:r w:rsidRPr="00E47287">
        <w:rPr>
          <w:b/>
          <w:sz w:val="26"/>
          <w:szCs w:val="26"/>
        </w:rPr>
        <w:t>2. Срок договора</w:t>
      </w:r>
    </w:p>
    <w:p w:rsidR="003E0677" w:rsidRDefault="003E0677" w:rsidP="00B218B8">
      <w:pPr>
        <w:pStyle w:val="1"/>
        <w:tabs>
          <w:tab w:val="left" w:pos="-2552"/>
        </w:tabs>
        <w:ind w:left="0" w:firstLine="540"/>
        <w:jc w:val="both"/>
        <w:rPr>
          <w:sz w:val="26"/>
          <w:szCs w:val="26"/>
        </w:rPr>
      </w:pPr>
    </w:p>
    <w:p w:rsidR="003E0677" w:rsidRPr="00E47287" w:rsidRDefault="003E0677"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3E0677" w:rsidRPr="00E47287" w:rsidRDefault="003E0677" w:rsidP="00B218B8">
      <w:pPr>
        <w:pStyle w:val="1"/>
        <w:tabs>
          <w:tab w:val="left" w:pos="-2552"/>
        </w:tabs>
        <w:ind w:left="0" w:firstLine="540"/>
        <w:jc w:val="center"/>
        <w:rPr>
          <w:b/>
          <w:sz w:val="26"/>
          <w:szCs w:val="26"/>
        </w:rPr>
      </w:pPr>
    </w:p>
    <w:p w:rsidR="003E0677" w:rsidRPr="00E47287" w:rsidRDefault="003E0677"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3E0677" w:rsidRDefault="003E0677" w:rsidP="00B218B8">
      <w:pPr>
        <w:pStyle w:val="1"/>
        <w:tabs>
          <w:tab w:val="left" w:pos="-2552"/>
        </w:tabs>
        <w:ind w:left="0" w:firstLine="540"/>
        <w:jc w:val="both"/>
        <w:rPr>
          <w:sz w:val="26"/>
          <w:szCs w:val="26"/>
        </w:rPr>
      </w:pPr>
    </w:p>
    <w:p w:rsidR="003E0677" w:rsidRPr="00E47287" w:rsidRDefault="003E0677"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3E0677" w:rsidRPr="00E47287" w:rsidRDefault="003E0677"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3E0677" w:rsidRPr="00E47287" w:rsidRDefault="003E0677"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3E0677" w:rsidRPr="00E47287" w:rsidRDefault="003E0677"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3E0677" w:rsidRPr="00E47287" w:rsidRDefault="003E0677"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3E0677" w:rsidRPr="00E47287" w:rsidRDefault="003E0677"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3E0677" w:rsidRPr="00E47287" w:rsidRDefault="003E0677"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3E0677" w:rsidRPr="00EB1FF4" w:rsidRDefault="003E0677"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3E0677" w:rsidRPr="00EB1FF4" w:rsidRDefault="003E0677"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3E0677" w:rsidRPr="00EB1FF4" w:rsidRDefault="003E0677"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3E0677" w:rsidRPr="00EB1FF4" w:rsidRDefault="003E0677"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3E0677" w:rsidRPr="00775298" w:rsidRDefault="003E0677" w:rsidP="00B218B8">
      <w:pPr>
        <w:pStyle w:val="1"/>
        <w:tabs>
          <w:tab w:val="left" w:pos="-2552"/>
        </w:tabs>
        <w:ind w:left="0" w:firstLine="540"/>
        <w:jc w:val="both"/>
      </w:pPr>
    </w:p>
    <w:p w:rsidR="003E0677" w:rsidRPr="00EB1FF4" w:rsidRDefault="003E0677" w:rsidP="00B218B8">
      <w:pPr>
        <w:pStyle w:val="1"/>
        <w:tabs>
          <w:tab w:val="left" w:pos="-2552"/>
        </w:tabs>
        <w:ind w:left="0" w:firstLine="540"/>
        <w:jc w:val="center"/>
        <w:rPr>
          <w:b/>
          <w:sz w:val="26"/>
          <w:szCs w:val="26"/>
        </w:rPr>
      </w:pPr>
      <w:r w:rsidRPr="00EB1FF4">
        <w:rPr>
          <w:b/>
          <w:sz w:val="26"/>
          <w:szCs w:val="26"/>
        </w:rPr>
        <w:t>4. Ответственность сторон</w:t>
      </w:r>
    </w:p>
    <w:p w:rsidR="003E0677" w:rsidRDefault="003E0677" w:rsidP="00B218B8">
      <w:pPr>
        <w:pStyle w:val="1"/>
        <w:tabs>
          <w:tab w:val="left" w:pos="-2552"/>
        </w:tabs>
        <w:ind w:left="0" w:firstLine="540"/>
        <w:jc w:val="both"/>
        <w:rPr>
          <w:sz w:val="26"/>
          <w:szCs w:val="26"/>
        </w:rPr>
      </w:pPr>
    </w:p>
    <w:p w:rsidR="003E0677" w:rsidRPr="00EB1FF4" w:rsidRDefault="003E0677"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3E0677" w:rsidRPr="00EB1FF4" w:rsidRDefault="003E0677"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3E0677" w:rsidRPr="00775298" w:rsidRDefault="003E0677" w:rsidP="00B218B8">
      <w:pPr>
        <w:pStyle w:val="1"/>
        <w:tabs>
          <w:tab w:val="left" w:pos="-2552"/>
        </w:tabs>
        <w:ind w:left="0" w:firstLine="540"/>
        <w:jc w:val="both"/>
      </w:pPr>
      <w:r w:rsidRPr="00775298">
        <w:t xml:space="preserve"> </w:t>
      </w:r>
    </w:p>
    <w:p w:rsidR="003E0677" w:rsidRPr="00EB1FF4" w:rsidRDefault="003E0677"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3E0677" w:rsidRDefault="003E0677" w:rsidP="00B218B8">
      <w:pPr>
        <w:pStyle w:val="1"/>
        <w:tabs>
          <w:tab w:val="left" w:pos="-2552"/>
        </w:tabs>
        <w:ind w:left="0" w:firstLine="540"/>
        <w:jc w:val="both"/>
        <w:rPr>
          <w:sz w:val="26"/>
          <w:szCs w:val="26"/>
        </w:rPr>
      </w:pP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3E0677" w:rsidRPr="00EB1FF4" w:rsidRDefault="003E0677"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3E0677" w:rsidRPr="00EB1FF4" w:rsidRDefault="003E0677"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3E0677" w:rsidRPr="00EB1FF4" w:rsidRDefault="003E0677"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3E0677" w:rsidRPr="00EB1FF4" w:rsidRDefault="003E0677"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3E0677" w:rsidRPr="00EB1FF4" w:rsidRDefault="003E0677"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3E0677" w:rsidRPr="00EB1FF4" w:rsidRDefault="003E0677" w:rsidP="00B218B8">
      <w:pPr>
        <w:pStyle w:val="1"/>
        <w:tabs>
          <w:tab w:val="left" w:pos="-2552"/>
        </w:tabs>
        <w:ind w:left="0" w:firstLine="540"/>
        <w:jc w:val="center"/>
        <w:rPr>
          <w:b/>
          <w:sz w:val="26"/>
          <w:szCs w:val="26"/>
        </w:rPr>
      </w:pPr>
    </w:p>
    <w:p w:rsidR="003E0677" w:rsidRPr="00EB1FF4" w:rsidRDefault="003E0677" w:rsidP="00B218B8">
      <w:pPr>
        <w:pStyle w:val="1"/>
        <w:tabs>
          <w:tab w:val="left" w:pos="-2552"/>
        </w:tabs>
        <w:ind w:left="0" w:firstLine="540"/>
        <w:jc w:val="center"/>
        <w:rPr>
          <w:b/>
          <w:sz w:val="26"/>
          <w:szCs w:val="26"/>
        </w:rPr>
      </w:pPr>
      <w:r w:rsidRPr="00EB1FF4">
        <w:rPr>
          <w:b/>
          <w:sz w:val="26"/>
          <w:szCs w:val="26"/>
        </w:rPr>
        <w:t>6. Прочие условия</w:t>
      </w:r>
    </w:p>
    <w:p w:rsidR="003E0677" w:rsidRDefault="003E0677" w:rsidP="00B218B8">
      <w:pPr>
        <w:pStyle w:val="1"/>
        <w:tabs>
          <w:tab w:val="left" w:pos="-2552"/>
        </w:tabs>
        <w:ind w:left="0" w:firstLine="540"/>
        <w:jc w:val="both"/>
        <w:rPr>
          <w:sz w:val="26"/>
          <w:szCs w:val="26"/>
        </w:rPr>
      </w:pPr>
    </w:p>
    <w:p w:rsidR="003E0677" w:rsidRPr="00EB1FF4" w:rsidRDefault="003E0677"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3E0677" w:rsidRDefault="003E0677"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3E0677" w:rsidRDefault="003E0677"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3E0677" w:rsidRDefault="003E0677" w:rsidP="00B218B8">
      <w:pPr>
        <w:pStyle w:val="1"/>
        <w:tabs>
          <w:tab w:val="left" w:pos="-2552"/>
        </w:tabs>
        <w:ind w:left="0" w:firstLine="540"/>
        <w:jc w:val="both"/>
        <w:rPr>
          <w:sz w:val="26"/>
          <w:szCs w:val="26"/>
        </w:rPr>
      </w:pPr>
    </w:p>
    <w:p w:rsidR="003E0677" w:rsidRPr="00D90018" w:rsidRDefault="003E0677"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3E0677" w:rsidRPr="00A31799" w:rsidRDefault="003E0677" w:rsidP="00B218B8">
      <w:pPr>
        <w:pStyle w:val="1"/>
        <w:tabs>
          <w:tab w:val="left" w:pos="-2552"/>
        </w:tabs>
        <w:ind w:left="0" w:firstLine="540"/>
        <w:jc w:val="center"/>
        <w:rPr>
          <w:b/>
        </w:rPr>
      </w:pPr>
    </w:p>
    <w:tbl>
      <w:tblPr>
        <w:tblW w:w="9356" w:type="dxa"/>
        <w:tblLook w:val="01E0"/>
      </w:tblPr>
      <w:tblGrid>
        <w:gridCol w:w="4678"/>
        <w:gridCol w:w="4678"/>
      </w:tblGrid>
      <w:tr w:rsidR="003E0677" w:rsidRPr="00A31799" w:rsidTr="00DD0F48">
        <w:trPr>
          <w:trHeight w:val="191"/>
        </w:trPr>
        <w:tc>
          <w:tcPr>
            <w:tcW w:w="4678" w:type="dxa"/>
          </w:tcPr>
          <w:p w:rsidR="003E0677" w:rsidRPr="00474F81" w:rsidRDefault="003E0677" w:rsidP="00DD0F48">
            <w:pPr>
              <w:rPr>
                <w:b/>
                <w:sz w:val="24"/>
                <w:szCs w:val="24"/>
              </w:rPr>
            </w:pPr>
            <w:r w:rsidRPr="00474F81">
              <w:rPr>
                <w:b/>
                <w:bCs/>
                <w:sz w:val="24"/>
                <w:szCs w:val="24"/>
              </w:rPr>
              <w:t>«Ссудодатель»:</w:t>
            </w:r>
          </w:p>
        </w:tc>
        <w:tc>
          <w:tcPr>
            <w:tcW w:w="4678" w:type="dxa"/>
          </w:tcPr>
          <w:p w:rsidR="003E0677" w:rsidRPr="00474F81" w:rsidRDefault="003E0677" w:rsidP="00DD0F48">
            <w:pPr>
              <w:rPr>
                <w:b/>
                <w:sz w:val="24"/>
                <w:szCs w:val="24"/>
              </w:rPr>
            </w:pPr>
            <w:r w:rsidRPr="00474F81">
              <w:rPr>
                <w:b/>
                <w:sz w:val="24"/>
                <w:szCs w:val="24"/>
              </w:rPr>
              <w:t>«Ссудополучатель»:</w:t>
            </w:r>
          </w:p>
        </w:tc>
      </w:tr>
      <w:tr w:rsidR="003E0677" w:rsidRPr="00A31799" w:rsidTr="00DD0F48">
        <w:trPr>
          <w:trHeight w:val="69"/>
        </w:trPr>
        <w:tc>
          <w:tcPr>
            <w:tcW w:w="4678" w:type="dxa"/>
          </w:tcPr>
          <w:p w:rsidR="003E0677" w:rsidRPr="00474F81" w:rsidRDefault="003E0677" w:rsidP="00DD0F48">
            <w:pPr>
              <w:rPr>
                <w:sz w:val="24"/>
                <w:szCs w:val="24"/>
              </w:rPr>
            </w:pPr>
            <w:r w:rsidRPr="00474F81">
              <w:rPr>
                <w:sz w:val="24"/>
                <w:szCs w:val="24"/>
              </w:rPr>
              <w:t>МБУ "ФСЦ"</w:t>
            </w:r>
          </w:p>
          <w:p w:rsidR="003E0677" w:rsidRPr="00474F81" w:rsidRDefault="003E0677" w:rsidP="00DD0F48">
            <w:pPr>
              <w:rPr>
                <w:sz w:val="24"/>
                <w:szCs w:val="24"/>
              </w:rPr>
            </w:pPr>
            <w:r w:rsidRPr="00474F81">
              <w:rPr>
                <w:sz w:val="24"/>
                <w:szCs w:val="24"/>
              </w:rPr>
              <w:t xml:space="preserve">456770, Россия, Челябинская область, </w:t>
            </w:r>
          </w:p>
          <w:p w:rsidR="003E0677" w:rsidRPr="00474F81" w:rsidRDefault="003E0677" w:rsidP="00DD0F48">
            <w:pPr>
              <w:rPr>
                <w:sz w:val="24"/>
                <w:szCs w:val="24"/>
              </w:rPr>
            </w:pPr>
            <w:r w:rsidRPr="00474F81">
              <w:rPr>
                <w:sz w:val="24"/>
                <w:szCs w:val="24"/>
              </w:rPr>
              <w:t>г.Снежинск, 40 лет Октября,</w:t>
            </w:r>
          </w:p>
          <w:p w:rsidR="003E0677" w:rsidRPr="00474F81" w:rsidRDefault="003E0677" w:rsidP="00DD0F48">
            <w:pPr>
              <w:rPr>
                <w:sz w:val="24"/>
                <w:szCs w:val="24"/>
              </w:rPr>
            </w:pPr>
            <w:r w:rsidRPr="00474F81">
              <w:rPr>
                <w:sz w:val="24"/>
                <w:szCs w:val="24"/>
              </w:rPr>
              <w:t>дом 37, корпус 1, а/я 497</w:t>
            </w:r>
          </w:p>
          <w:p w:rsidR="003E0677" w:rsidRPr="00474F81" w:rsidRDefault="003E0677" w:rsidP="00DD0F48">
            <w:pPr>
              <w:rPr>
                <w:sz w:val="24"/>
                <w:szCs w:val="24"/>
              </w:rPr>
            </w:pPr>
            <w:r w:rsidRPr="00474F81">
              <w:rPr>
                <w:sz w:val="24"/>
                <w:szCs w:val="24"/>
              </w:rPr>
              <w:t>Тел. 9-23-49, 9-28-37</w:t>
            </w:r>
          </w:p>
          <w:p w:rsidR="003E0677" w:rsidRDefault="003E0677" w:rsidP="00DD0F48">
            <w:pPr>
              <w:rPr>
                <w:sz w:val="24"/>
                <w:szCs w:val="24"/>
              </w:rPr>
            </w:pPr>
            <w:r w:rsidRPr="00474F81">
              <w:rPr>
                <w:sz w:val="24"/>
                <w:szCs w:val="24"/>
              </w:rPr>
              <w:t>л/с 20696Ц87800</w:t>
            </w:r>
          </w:p>
          <w:p w:rsidR="003E0677" w:rsidRDefault="003E0677" w:rsidP="00DD0F48">
            <w:pPr>
              <w:rPr>
                <w:sz w:val="24"/>
                <w:szCs w:val="24"/>
              </w:rPr>
            </w:pPr>
            <w:r>
              <w:rPr>
                <w:sz w:val="24"/>
                <w:szCs w:val="24"/>
              </w:rPr>
              <w:t>р</w:t>
            </w:r>
            <w:r w:rsidRPr="00474F81">
              <w:rPr>
                <w:sz w:val="24"/>
                <w:szCs w:val="24"/>
              </w:rPr>
              <w:t>/с 40701810</w:t>
            </w:r>
            <w:r>
              <w:rPr>
                <w:sz w:val="24"/>
                <w:szCs w:val="24"/>
              </w:rPr>
              <w:t>76577120001</w:t>
            </w:r>
          </w:p>
          <w:p w:rsidR="003E0677" w:rsidRPr="00474F81" w:rsidRDefault="003E0677" w:rsidP="00DD0F48">
            <w:pPr>
              <w:rPr>
                <w:sz w:val="24"/>
                <w:szCs w:val="24"/>
              </w:rPr>
            </w:pPr>
            <w:r w:rsidRPr="00474F81">
              <w:rPr>
                <w:sz w:val="24"/>
                <w:szCs w:val="24"/>
              </w:rPr>
              <w:t>Банк: Отделение Челябинск г. Челябинск</w:t>
            </w:r>
          </w:p>
          <w:p w:rsidR="003E0677" w:rsidRPr="00474F81" w:rsidRDefault="003E0677" w:rsidP="00DD0F48">
            <w:pPr>
              <w:rPr>
                <w:sz w:val="24"/>
                <w:szCs w:val="24"/>
              </w:rPr>
            </w:pPr>
            <w:r w:rsidRPr="00474F81">
              <w:rPr>
                <w:sz w:val="24"/>
                <w:szCs w:val="24"/>
              </w:rPr>
              <w:t>ИНН 7423018611 КПП 745901001</w:t>
            </w:r>
          </w:p>
          <w:p w:rsidR="003E0677" w:rsidRPr="00474F81" w:rsidRDefault="003E0677" w:rsidP="00DD0F48">
            <w:pPr>
              <w:rPr>
                <w:sz w:val="24"/>
                <w:szCs w:val="24"/>
              </w:rPr>
            </w:pPr>
            <w:r w:rsidRPr="00474F81">
              <w:rPr>
                <w:sz w:val="24"/>
                <w:szCs w:val="24"/>
              </w:rPr>
              <w:t>БИК 047501001</w:t>
            </w:r>
          </w:p>
          <w:p w:rsidR="003E0677" w:rsidRPr="00474F81" w:rsidRDefault="003E0677" w:rsidP="00DD0F48">
            <w:pPr>
              <w:rPr>
                <w:sz w:val="24"/>
                <w:szCs w:val="24"/>
              </w:rPr>
            </w:pPr>
            <w:r w:rsidRPr="00474F81">
              <w:rPr>
                <w:sz w:val="24"/>
                <w:szCs w:val="24"/>
              </w:rPr>
              <w:t>ОГРН 1037401351052</w:t>
            </w:r>
          </w:p>
          <w:p w:rsidR="003E0677" w:rsidRPr="00474F81" w:rsidRDefault="003E0677" w:rsidP="00DD0F48">
            <w:pPr>
              <w:rPr>
                <w:sz w:val="24"/>
                <w:szCs w:val="24"/>
              </w:rPr>
            </w:pPr>
          </w:p>
          <w:p w:rsidR="003E0677" w:rsidRPr="00474F81" w:rsidRDefault="003E0677" w:rsidP="00DD0F48">
            <w:pPr>
              <w:rPr>
                <w:sz w:val="24"/>
                <w:szCs w:val="24"/>
              </w:rPr>
            </w:pPr>
          </w:p>
          <w:p w:rsidR="003E0677" w:rsidRPr="00474F81" w:rsidRDefault="003E0677" w:rsidP="00DD0F48">
            <w:pPr>
              <w:rPr>
                <w:sz w:val="24"/>
                <w:szCs w:val="24"/>
              </w:rPr>
            </w:pPr>
            <w:r w:rsidRPr="00474F81">
              <w:rPr>
                <w:sz w:val="24"/>
                <w:szCs w:val="24"/>
              </w:rPr>
              <w:t>Директор МБУ «ФСЦ»</w:t>
            </w:r>
          </w:p>
          <w:p w:rsidR="003E0677" w:rsidRPr="00474F81" w:rsidRDefault="003E0677" w:rsidP="00DD0F48">
            <w:pPr>
              <w:rPr>
                <w:sz w:val="24"/>
                <w:szCs w:val="24"/>
              </w:rPr>
            </w:pPr>
          </w:p>
          <w:p w:rsidR="003E0677" w:rsidRPr="00474F81" w:rsidRDefault="003E0677" w:rsidP="00DD0F48">
            <w:pPr>
              <w:rPr>
                <w:sz w:val="24"/>
                <w:szCs w:val="24"/>
              </w:rPr>
            </w:pPr>
          </w:p>
          <w:p w:rsidR="003E0677" w:rsidRPr="00474F81" w:rsidRDefault="003E0677" w:rsidP="00A83F3B">
            <w:pPr>
              <w:rPr>
                <w:b/>
                <w:sz w:val="24"/>
                <w:szCs w:val="24"/>
              </w:rPr>
            </w:pPr>
            <w:r w:rsidRPr="00474F81">
              <w:rPr>
                <w:sz w:val="24"/>
                <w:szCs w:val="24"/>
              </w:rPr>
              <w:t>_________________ К.Н. Сорокатый</w:t>
            </w:r>
          </w:p>
        </w:tc>
        <w:tc>
          <w:tcPr>
            <w:tcW w:w="4678" w:type="dxa"/>
          </w:tcPr>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Pr="00CC70D3" w:rsidRDefault="003E0677" w:rsidP="00DD0F48">
            <w:pPr>
              <w:rPr>
                <w:sz w:val="24"/>
                <w:szCs w:val="24"/>
                <w:highlight w:val="yellow"/>
              </w:rPr>
            </w:pPr>
          </w:p>
          <w:p w:rsidR="003E0677" w:rsidRPr="00CC70D3" w:rsidRDefault="003E0677" w:rsidP="00DD0F48">
            <w:pPr>
              <w:rPr>
                <w:sz w:val="24"/>
                <w:szCs w:val="24"/>
                <w:highlight w:val="yellow"/>
              </w:rPr>
            </w:pPr>
          </w:p>
          <w:p w:rsidR="003E0677" w:rsidRPr="00474F81" w:rsidRDefault="003E0677" w:rsidP="009728EA">
            <w:pPr>
              <w:rPr>
                <w:b/>
                <w:sz w:val="24"/>
                <w:szCs w:val="24"/>
              </w:rPr>
            </w:pPr>
            <w:r w:rsidRPr="005273EF">
              <w:rPr>
                <w:sz w:val="24"/>
                <w:szCs w:val="24"/>
              </w:rPr>
              <w:t>_____________________</w:t>
            </w:r>
            <w:r>
              <w:rPr>
                <w:sz w:val="24"/>
                <w:szCs w:val="24"/>
              </w:rPr>
              <w:t xml:space="preserve"> </w:t>
            </w:r>
          </w:p>
        </w:tc>
      </w:tr>
    </w:tbl>
    <w:p w:rsidR="003E0677" w:rsidRDefault="003E0677" w:rsidP="00B218B8">
      <w:pPr>
        <w:jc w:val="both"/>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p>
    <w:p w:rsidR="003E0677" w:rsidRDefault="003E0677" w:rsidP="00B218B8">
      <w:pPr>
        <w:ind w:left="3540"/>
        <w:jc w:val="right"/>
        <w:rPr>
          <w:bCs/>
          <w:sz w:val="20"/>
          <w:szCs w:val="20"/>
        </w:rPr>
      </w:pPr>
      <w:r>
        <w:rPr>
          <w:bCs/>
          <w:sz w:val="20"/>
          <w:szCs w:val="20"/>
        </w:rPr>
        <w:t>Приложение 2</w:t>
      </w:r>
    </w:p>
    <w:p w:rsidR="003E0677" w:rsidRDefault="003E0677" w:rsidP="00B218B8">
      <w:pPr>
        <w:ind w:left="3540"/>
        <w:jc w:val="right"/>
        <w:rPr>
          <w:bCs/>
          <w:sz w:val="20"/>
          <w:szCs w:val="20"/>
        </w:rPr>
      </w:pPr>
      <w:r w:rsidRPr="008968C8">
        <w:rPr>
          <w:bCs/>
          <w:sz w:val="20"/>
          <w:szCs w:val="20"/>
        </w:rPr>
        <w:t xml:space="preserve"> к договору безвозмездного пользования</w:t>
      </w:r>
    </w:p>
    <w:p w:rsidR="003E0677" w:rsidRDefault="003E0677"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3E0677" w:rsidRDefault="003E0677" w:rsidP="00B218B8">
      <w:pPr>
        <w:ind w:left="3540"/>
        <w:jc w:val="both"/>
        <w:rPr>
          <w:bCs/>
          <w:sz w:val="20"/>
          <w:szCs w:val="20"/>
        </w:rPr>
      </w:pPr>
    </w:p>
    <w:p w:rsidR="003E0677" w:rsidRDefault="003E0677" w:rsidP="00B218B8">
      <w:pPr>
        <w:ind w:left="3540"/>
        <w:jc w:val="both"/>
        <w:rPr>
          <w:bCs/>
          <w:sz w:val="20"/>
          <w:szCs w:val="20"/>
        </w:rPr>
      </w:pPr>
    </w:p>
    <w:p w:rsidR="003E0677" w:rsidRPr="008C2ED0" w:rsidRDefault="003E0677" w:rsidP="00B218B8">
      <w:pPr>
        <w:jc w:val="center"/>
        <w:rPr>
          <w:b/>
          <w:sz w:val="26"/>
          <w:szCs w:val="26"/>
        </w:rPr>
      </w:pPr>
      <w:r w:rsidRPr="008C2ED0">
        <w:rPr>
          <w:b/>
          <w:sz w:val="26"/>
          <w:szCs w:val="26"/>
        </w:rPr>
        <w:t>Акт приема передачи муниципального имущества</w:t>
      </w:r>
    </w:p>
    <w:p w:rsidR="003E0677" w:rsidRPr="008C2ED0" w:rsidRDefault="003E0677"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3E0677" w:rsidRPr="008C2ED0" w:rsidRDefault="003E0677" w:rsidP="00B218B8">
      <w:pPr>
        <w:pStyle w:val="1"/>
        <w:tabs>
          <w:tab w:val="left" w:pos="-2552"/>
        </w:tabs>
        <w:ind w:left="0" w:firstLine="540"/>
        <w:jc w:val="both"/>
        <w:rPr>
          <w:sz w:val="26"/>
          <w:szCs w:val="26"/>
        </w:rPr>
      </w:pPr>
    </w:p>
    <w:p w:rsidR="003E0677" w:rsidRPr="008C2ED0" w:rsidRDefault="003E0677"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3E0677" w:rsidRPr="008C2ED0" w:rsidRDefault="003E0677"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3E0677" w:rsidRPr="008C2ED0" w:rsidRDefault="003E0677"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3E0677" w:rsidRPr="00FF120E" w:rsidRDefault="003E0677"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3E0677" w:rsidRPr="00FF120E" w:rsidRDefault="003E0677"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3E0677" w:rsidRDefault="003E0677" w:rsidP="00B218B8">
      <w:pPr>
        <w:pStyle w:val="BodyTextIndent"/>
        <w:rPr>
          <w:b/>
          <w:sz w:val="26"/>
          <w:szCs w:val="26"/>
        </w:rPr>
      </w:pPr>
    </w:p>
    <w:p w:rsidR="003E0677" w:rsidRPr="004F794F" w:rsidRDefault="003E0677" w:rsidP="00B218B8">
      <w:pPr>
        <w:pStyle w:val="BodyTextIndent"/>
        <w:rPr>
          <w:b/>
          <w:szCs w:val="24"/>
        </w:rPr>
      </w:pPr>
    </w:p>
    <w:tbl>
      <w:tblPr>
        <w:tblW w:w="9356" w:type="dxa"/>
        <w:tblLook w:val="01E0"/>
      </w:tblPr>
      <w:tblGrid>
        <w:gridCol w:w="4678"/>
        <w:gridCol w:w="4678"/>
      </w:tblGrid>
      <w:tr w:rsidR="003E0677" w:rsidRPr="00A31799" w:rsidTr="00DD0F48">
        <w:trPr>
          <w:trHeight w:val="191"/>
        </w:trPr>
        <w:tc>
          <w:tcPr>
            <w:tcW w:w="4678" w:type="dxa"/>
          </w:tcPr>
          <w:p w:rsidR="003E0677" w:rsidRPr="001577CD" w:rsidRDefault="003E0677" w:rsidP="00DD0F48">
            <w:pPr>
              <w:rPr>
                <w:b/>
                <w:sz w:val="24"/>
                <w:szCs w:val="24"/>
              </w:rPr>
            </w:pPr>
            <w:r w:rsidRPr="001577CD">
              <w:rPr>
                <w:b/>
                <w:bCs/>
                <w:sz w:val="24"/>
                <w:szCs w:val="24"/>
              </w:rPr>
              <w:t>«Ссудод</w:t>
            </w:r>
            <w:r>
              <w:rPr>
                <w:b/>
                <w:bCs/>
                <w:sz w:val="24"/>
                <w:szCs w:val="24"/>
              </w:rPr>
              <w:t>атель»:</w:t>
            </w:r>
          </w:p>
        </w:tc>
        <w:tc>
          <w:tcPr>
            <w:tcW w:w="4678" w:type="dxa"/>
          </w:tcPr>
          <w:p w:rsidR="003E0677" w:rsidRDefault="003E0677" w:rsidP="00DD0F48">
            <w:pPr>
              <w:rPr>
                <w:b/>
                <w:sz w:val="24"/>
                <w:szCs w:val="24"/>
              </w:rPr>
            </w:pPr>
            <w:r w:rsidRPr="001577CD">
              <w:rPr>
                <w:b/>
                <w:sz w:val="24"/>
                <w:szCs w:val="24"/>
              </w:rPr>
              <w:t>«Ссудополучатель»:</w:t>
            </w:r>
          </w:p>
          <w:p w:rsidR="003E0677" w:rsidRPr="001577CD" w:rsidRDefault="003E0677" w:rsidP="00DD0F48">
            <w:pPr>
              <w:jc w:val="center"/>
              <w:rPr>
                <w:b/>
                <w:sz w:val="24"/>
                <w:szCs w:val="24"/>
              </w:rPr>
            </w:pPr>
          </w:p>
        </w:tc>
      </w:tr>
      <w:tr w:rsidR="003E0677" w:rsidRPr="00A31799" w:rsidTr="00DD0F48">
        <w:trPr>
          <w:trHeight w:val="69"/>
        </w:trPr>
        <w:tc>
          <w:tcPr>
            <w:tcW w:w="4678" w:type="dxa"/>
          </w:tcPr>
          <w:p w:rsidR="003E0677" w:rsidRPr="001577CD" w:rsidRDefault="003E0677" w:rsidP="00DD0F48">
            <w:pPr>
              <w:rPr>
                <w:sz w:val="24"/>
                <w:szCs w:val="24"/>
              </w:rPr>
            </w:pPr>
          </w:p>
          <w:p w:rsidR="003E0677" w:rsidRPr="001577CD" w:rsidRDefault="003E0677" w:rsidP="00DD0F48">
            <w:pPr>
              <w:rPr>
                <w:sz w:val="24"/>
                <w:szCs w:val="24"/>
              </w:rPr>
            </w:pPr>
            <w:r w:rsidRPr="001577CD">
              <w:rPr>
                <w:sz w:val="24"/>
                <w:szCs w:val="24"/>
              </w:rPr>
              <w:t>МБУ "ФСЦ"</w:t>
            </w:r>
          </w:p>
          <w:p w:rsidR="003E0677" w:rsidRPr="001577CD" w:rsidRDefault="003E0677" w:rsidP="00DD0F48">
            <w:pPr>
              <w:rPr>
                <w:sz w:val="24"/>
                <w:szCs w:val="24"/>
              </w:rPr>
            </w:pPr>
            <w:r w:rsidRPr="001577CD">
              <w:rPr>
                <w:sz w:val="24"/>
                <w:szCs w:val="24"/>
              </w:rPr>
              <w:t xml:space="preserve">456770, Россия, Челябинская область, </w:t>
            </w:r>
          </w:p>
          <w:p w:rsidR="003E0677" w:rsidRPr="001577CD" w:rsidRDefault="003E0677" w:rsidP="00DD0F48">
            <w:pPr>
              <w:rPr>
                <w:sz w:val="24"/>
                <w:szCs w:val="24"/>
              </w:rPr>
            </w:pPr>
            <w:r w:rsidRPr="001577CD">
              <w:rPr>
                <w:sz w:val="24"/>
                <w:szCs w:val="24"/>
              </w:rPr>
              <w:t>г.Снежинск, 40 лет Октября,</w:t>
            </w:r>
          </w:p>
          <w:p w:rsidR="003E0677" w:rsidRPr="001577CD" w:rsidRDefault="003E0677" w:rsidP="00DD0F48">
            <w:pPr>
              <w:rPr>
                <w:sz w:val="24"/>
                <w:szCs w:val="24"/>
              </w:rPr>
            </w:pPr>
            <w:r w:rsidRPr="001577CD">
              <w:rPr>
                <w:sz w:val="24"/>
                <w:szCs w:val="24"/>
              </w:rPr>
              <w:t>дом 37, корпус 1, а/я 497</w:t>
            </w:r>
          </w:p>
          <w:p w:rsidR="003E0677" w:rsidRPr="001577CD" w:rsidRDefault="003E0677" w:rsidP="00DD0F48">
            <w:pPr>
              <w:rPr>
                <w:sz w:val="24"/>
                <w:szCs w:val="24"/>
              </w:rPr>
            </w:pPr>
            <w:r w:rsidRPr="001577CD">
              <w:rPr>
                <w:sz w:val="24"/>
                <w:szCs w:val="24"/>
              </w:rPr>
              <w:t>Тел. 9-23-49, 9-28-37</w:t>
            </w:r>
          </w:p>
          <w:p w:rsidR="003E0677" w:rsidRPr="001577CD" w:rsidRDefault="003E0677" w:rsidP="00DD0F48">
            <w:pPr>
              <w:rPr>
                <w:sz w:val="24"/>
                <w:szCs w:val="24"/>
              </w:rPr>
            </w:pPr>
            <w:r w:rsidRPr="001577CD">
              <w:rPr>
                <w:sz w:val="24"/>
                <w:szCs w:val="24"/>
              </w:rPr>
              <w:t>л/с 20696Ц87800</w:t>
            </w:r>
          </w:p>
          <w:p w:rsidR="003E0677" w:rsidRPr="001577CD" w:rsidRDefault="003E0677" w:rsidP="00DD0F48">
            <w:pPr>
              <w:rPr>
                <w:sz w:val="24"/>
                <w:szCs w:val="24"/>
              </w:rPr>
            </w:pPr>
            <w:r w:rsidRPr="001577CD">
              <w:rPr>
                <w:sz w:val="24"/>
                <w:szCs w:val="24"/>
              </w:rPr>
              <w:t>р/с 4070181076577120001</w:t>
            </w:r>
          </w:p>
          <w:p w:rsidR="003E0677" w:rsidRPr="001577CD" w:rsidRDefault="003E0677" w:rsidP="00DD0F48">
            <w:pPr>
              <w:rPr>
                <w:sz w:val="24"/>
                <w:szCs w:val="24"/>
              </w:rPr>
            </w:pPr>
            <w:r w:rsidRPr="001577CD">
              <w:rPr>
                <w:sz w:val="24"/>
                <w:szCs w:val="24"/>
              </w:rPr>
              <w:t>Банк: Отделение Челябинск г. Челябинск</w:t>
            </w:r>
          </w:p>
          <w:p w:rsidR="003E0677" w:rsidRPr="001577CD" w:rsidRDefault="003E0677" w:rsidP="00DD0F48">
            <w:pPr>
              <w:rPr>
                <w:sz w:val="24"/>
                <w:szCs w:val="24"/>
              </w:rPr>
            </w:pPr>
            <w:r w:rsidRPr="001577CD">
              <w:rPr>
                <w:sz w:val="24"/>
                <w:szCs w:val="24"/>
              </w:rPr>
              <w:t>ИНН 7423018611 КПП 745901001</w:t>
            </w:r>
          </w:p>
          <w:p w:rsidR="003E0677" w:rsidRPr="001577CD" w:rsidRDefault="003E0677" w:rsidP="00DD0F48">
            <w:pPr>
              <w:rPr>
                <w:sz w:val="24"/>
                <w:szCs w:val="24"/>
              </w:rPr>
            </w:pPr>
            <w:r w:rsidRPr="001577CD">
              <w:rPr>
                <w:sz w:val="24"/>
                <w:szCs w:val="24"/>
              </w:rPr>
              <w:t>БИК 047501001</w:t>
            </w:r>
          </w:p>
          <w:p w:rsidR="003E0677" w:rsidRPr="001577CD" w:rsidRDefault="003E0677" w:rsidP="00DD0F48">
            <w:pPr>
              <w:rPr>
                <w:sz w:val="24"/>
                <w:szCs w:val="24"/>
              </w:rPr>
            </w:pPr>
            <w:r w:rsidRPr="001577CD">
              <w:rPr>
                <w:sz w:val="24"/>
                <w:szCs w:val="24"/>
              </w:rPr>
              <w:t>ОГРН 1037401351052</w:t>
            </w:r>
          </w:p>
          <w:p w:rsidR="003E0677" w:rsidRPr="001577CD" w:rsidRDefault="003E0677" w:rsidP="00DD0F48">
            <w:pPr>
              <w:rPr>
                <w:sz w:val="24"/>
                <w:szCs w:val="24"/>
              </w:rPr>
            </w:pPr>
          </w:p>
          <w:p w:rsidR="003E0677" w:rsidRPr="001577CD" w:rsidRDefault="003E0677" w:rsidP="00DD0F48">
            <w:pPr>
              <w:rPr>
                <w:sz w:val="24"/>
                <w:szCs w:val="24"/>
              </w:rPr>
            </w:pPr>
          </w:p>
          <w:p w:rsidR="003E0677" w:rsidRPr="001577CD" w:rsidRDefault="003E0677" w:rsidP="00DD0F48">
            <w:pPr>
              <w:rPr>
                <w:sz w:val="24"/>
                <w:szCs w:val="24"/>
              </w:rPr>
            </w:pPr>
            <w:r w:rsidRPr="001577CD">
              <w:rPr>
                <w:sz w:val="24"/>
                <w:szCs w:val="24"/>
              </w:rPr>
              <w:t>Директор МБУ «ФСЦ»</w:t>
            </w:r>
          </w:p>
          <w:p w:rsidR="003E0677" w:rsidRPr="001577CD" w:rsidRDefault="003E0677" w:rsidP="00DD0F48">
            <w:pPr>
              <w:rPr>
                <w:sz w:val="24"/>
                <w:szCs w:val="24"/>
              </w:rPr>
            </w:pPr>
          </w:p>
          <w:p w:rsidR="003E0677" w:rsidRPr="001577CD" w:rsidRDefault="003E0677" w:rsidP="00DD0F48">
            <w:pPr>
              <w:rPr>
                <w:sz w:val="24"/>
                <w:szCs w:val="24"/>
              </w:rPr>
            </w:pPr>
          </w:p>
          <w:p w:rsidR="003E0677" w:rsidRPr="001577CD" w:rsidRDefault="003E0677" w:rsidP="00A83F3B">
            <w:pPr>
              <w:rPr>
                <w:b/>
                <w:sz w:val="24"/>
                <w:szCs w:val="24"/>
              </w:rPr>
            </w:pPr>
            <w:r w:rsidRPr="001577CD">
              <w:rPr>
                <w:sz w:val="24"/>
                <w:szCs w:val="24"/>
              </w:rPr>
              <w:t>_________________ К.Н. Сорокатый</w:t>
            </w:r>
          </w:p>
        </w:tc>
        <w:tc>
          <w:tcPr>
            <w:tcW w:w="4678" w:type="dxa"/>
          </w:tcPr>
          <w:p w:rsidR="003E0677" w:rsidRPr="009218B8" w:rsidRDefault="003E0677" w:rsidP="00DD0F48">
            <w:pPr>
              <w:rPr>
                <w:sz w:val="24"/>
                <w:szCs w:val="24"/>
              </w:rPr>
            </w:pPr>
            <w:r w:rsidRPr="009218B8">
              <w:rPr>
                <w:sz w:val="24"/>
                <w:szCs w:val="24"/>
              </w:rPr>
              <w:t>РЕКВИЗИТЫ</w:t>
            </w: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Default="003E0677" w:rsidP="00DD0F48">
            <w:pPr>
              <w:rPr>
                <w:sz w:val="24"/>
                <w:szCs w:val="24"/>
                <w:highlight w:val="yellow"/>
              </w:rPr>
            </w:pPr>
          </w:p>
          <w:p w:rsidR="003E0677" w:rsidRPr="00CC70D3" w:rsidRDefault="003E0677" w:rsidP="00DD0F48">
            <w:pPr>
              <w:rPr>
                <w:sz w:val="24"/>
                <w:szCs w:val="24"/>
                <w:highlight w:val="yellow"/>
              </w:rPr>
            </w:pPr>
          </w:p>
          <w:p w:rsidR="003E0677" w:rsidRPr="001577CD" w:rsidRDefault="003E0677" w:rsidP="009728EA">
            <w:pPr>
              <w:rPr>
                <w:b/>
                <w:sz w:val="24"/>
                <w:szCs w:val="24"/>
              </w:rPr>
            </w:pPr>
            <w:r w:rsidRPr="009218B8">
              <w:rPr>
                <w:sz w:val="24"/>
                <w:szCs w:val="24"/>
              </w:rPr>
              <w:t>_____________________</w:t>
            </w:r>
          </w:p>
        </w:tc>
      </w:tr>
    </w:tbl>
    <w:p w:rsidR="003E0677" w:rsidRDefault="003E0677">
      <w:pPr>
        <w:pStyle w:val="BodyText"/>
        <w:spacing w:before="7"/>
        <w:ind w:left="0"/>
        <w:rPr>
          <w:b/>
          <w:sz w:val="21"/>
        </w:rPr>
      </w:pPr>
    </w:p>
    <w:p w:rsidR="003E0677" w:rsidRDefault="003E0677">
      <w:pPr>
        <w:pStyle w:val="BodyText"/>
        <w:spacing w:before="7"/>
        <w:ind w:left="0"/>
        <w:rPr>
          <w:b/>
          <w:sz w:val="21"/>
        </w:rPr>
      </w:pPr>
    </w:p>
    <w:p w:rsidR="003E0677" w:rsidRDefault="003E0677">
      <w:pPr>
        <w:pStyle w:val="BodyText"/>
        <w:spacing w:before="7"/>
        <w:ind w:left="0"/>
        <w:rPr>
          <w:b/>
          <w:sz w:val="21"/>
        </w:rPr>
      </w:pPr>
    </w:p>
    <w:sectPr w:rsidR="003E0677"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77" w:rsidRDefault="003E0677">
      <w:r>
        <w:separator/>
      </w:r>
    </w:p>
  </w:endnote>
  <w:endnote w:type="continuationSeparator" w:id="0">
    <w:p w:rsidR="003E0677" w:rsidRDefault="003E0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77" w:rsidRDefault="003E0677">
      <w:r>
        <w:separator/>
      </w:r>
    </w:p>
  </w:footnote>
  <w:footnote w:type="continuationSeparator" w:id="0">
    <w:p w:rsidR="003E0677" w:rsidRDefault="003E06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577CD"/>
    <w:rsid w:val="00162AB3"/>
    <w:rsid w:val="0017012A"/>
    <w:rsid w:val="001B1759"/>
    <w:rsid w:val="002F4199"/>
    <w:rsid w:val="00373622"/>
    <w:rsid w:val="00375761"/>
    <w:rsid w:val="003E0677"/>
    <w:rsid w:val="0045351B"/>
    <w:rsid w:val="00471C90"/>
    <w:rsid w:val="00474F81"/>
    <w:rsid w:val="00493D9B"/>
    <w:rsid w:val="0049402E"/>
    <w:rsid w:val="004F794F"/>
    <w:rsid w:val="005273EF"/>
    <w:rsid w:val="00621A73"/>
    <w:rsid w:val="00670D15"/>
    <w:rsid w:val="00673C4E"/>
    <w:rsid w:val="006E62BF"/>
    <w:rsid w:val="00775298"/>
    <w:rsid w:val="00782238"/>
    <w:rsid w:val="008310E6"/>
    <w:rsid w:val="00855E1A"/>
    <w:rsid w:val="00892773"/>
    <w:rsid w:val="008968C8"/>
    <w:rsid w:val="008B12A6"/>
    <w:rsid w:val="008C2ED0"/>
    <w:rsid w:val="008D6DF2"/>
    <w:rsid w:val="009218B8"/>
    <w:rsid w:val="00930AC8"/>
    <w:rsid w:val="009728EA"/>
    <w:rsid w:val="009A7B5F"/>
    <w:rsid w:val="009B0C89"/>
    <w:rsid w:val="009B7D36"/>
    <w:rsid w:val="00A31799"/>
    <w:rsid w:val="00A83F3B"/>
    <w:rsid w:val="00B10D57"/>
    <w:rsid w:val="00B218B8"/>
    <w:rsid w:val="00B7608F"/>
    <w:rsid w:val="00BD5F85"/>
    <w:rsid w:val="00C27ED3"/>
    <w:rsid w:val="00C876B1"/>
    <w:rsid w:val="00CC70D3"/>
    <w:rsid w:val="00D33CE6"/>
    <w:rsid w:val="00D90018"/>
    <w:rsid w:val="00DC7570"/>
    <w:rsid w:val="00DD0F48"/>
    <w:rsid w:val="00E26EB8"/>
    <w:rsid w:val="00E353E6"/>
    <w:rsid w:val="00E47287"/>
    <w:rsid w:val="00E763EF"/>
    <w:rsid w:val="00EB1FF4"/>
    <w:rsid w:val="00ED5ADB"/>
    <w:rsid w:val="00F0159B"/>
    <w:rsid w:val="00F23F9E"/>
    <w:rsid w:val="00F30778"/>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2E"/>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49402E"/>
    <w:pPr>
      <w:spacing w:line="322" w:lineRule="exact"/>
      <w:ind w:left="318"/>
      <w:outlineLvl w:val="0"/>
    </w:pPr>
    <w:rPr>
      <w:b/>
      <w:bCs/>
      <w:sz w:val="28"/>
      <w:szCs w:val="28"/>
    </w:rPr>
  </w:style>
  <w:style w:type="paragraph" w:styleId="Heading2">
    <w:name w:val="heading 2"/>
    <w:basedOn w:val="Normal"/>
    <w:link w:val="Heading2Char"/>
    <w:uiPriority w:val="99"/>
    <w:qFormat/>
    <w:rsid w:val="0049402E"/>
    <w:pPr>
      <w:ind w:left="602"/>
      <w:outlineLvl w:val="1"/>
    </w:pPr>
    <w:rPr>
      <w:sz w:val="28"/>
      <w:szCs w:val="28"/>
    </w:rPr>
  </w:style>
  <w:style w:type="paragraph" w:styleId="Heading3">
    <w:name w:val="heading 3"/>
    <w:basedOn w:val="Normal"/>
    <w:link w:val="Heading3Char"/>
    <w:uiPriority w:val="99"/>
    <w:qFormat/>
    <w:rsid w:val="0049402E"/>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2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537244"/>
    <w:rPr>
      <w:rFonts w:asciiTheme="majorHAnsi" w:eastAsiaTheme="majorEastAsia" w:hAnsiTheme="majorHAnsi" w:cstheme="majorBidi"/>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49402E"/>
    <w:pPr>
      <w:ind w:left="318"/>
    </w:pPr>
    <w:rPr>
      <w:sz w:val="24"/>
      <w:szCs w:val="24"/>
    </w:rPr>
  </w:style>
  <w:style w:type="character" w:customStyle="1" w:styleId="BodyTextChar">
    <w:name w:val="Body Text Char"/>
    <w:basedOn w:val="DefaultParagraphFont"/>
    <w:link w:val="BodyText"/>
    <w:uiPriority w:val="99"/>
    <w:semiHidden/>
    <w:rsid w:val="00537244"/>
    <w:rPr>
      <w:rFonts w:ascii="Times New Roman" w:eastAsia="Times New Roman" w:hAnsi="Times New Roman"/>
    </w:rPr>
  </w:style>
  <w:style w:type="paragraph" w:styleId="ListParagraph">
    <w:name w:val="List Paragraph"/>
    <w:basedOn w:val="Normal"/>
    <w:uiPriority w:val="99"/>
    <w:qFormat/>
    <w:rsid w:val="0049402E"/>
    <w:pPr>
      <w:ind w:left="318" w:firstLine="719"/>
      <w:jc w:val="both"/>
    </w:pPr>
  </w:style>
  <w:style w:type="paragraph" w:customStyle="1" w:styleId="TableParagraph">
    <w:name w:val="Table Paragraph"/>
    <w:basedOn w:val="Normal"/>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13</Pages>
  <Words>4251</Words>
  <Characters>24236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6</cp:revision>
  <dcterms:created xsi:type="dcterms:W3CDTF">2020-02-28T11:22:00Z</dcterms:created>
  <dcterms:modified xsi:type="dcterms:W3CDTF">2020-03-04T06:05:00Z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