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E30E" w14:textId="33148ABB" w:rsidR="00964118" w:rsidRDefault="00964118" w:rsidP="0096411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zh-CN"/>
        </w:rPr>
      </w:pPr>
      <w:r w:rsidRPr="00964118"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zh-CN"/>
        </w:rPr>
        <w:t>Отчет о муниципальных закупках города Снежинска за 20</w:t>
      </w:r>
      <w:r w:rsidRPr="00964118"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zh-CN"/>
        </w:rPr>
        <w:t>20</w:t>
      </w:r>
      <w:r w:rsidRPr="00964118"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zh-CN"/>
        </w:rPr>
        <w:t xml:space="preserve"> год</w:t>
      </w:r>
    </w:p>
    <w:p w14:paraId="361AFC3B" w14:textId="77777777" w:rsidR="00964118" w:rsidRPr="00964118" w:rsidRDefault="00964118" w:rsidP="0096411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zh-CN"/>
        </w:rPr>
      </w:pPr>
    </w:p>
    <w:p w14:paraId="6924D227" w14:textId="6A841C4F" w:rsidR="000D1567" w:rsidRDefault="000D1567" w:rsidP="000D156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Муниципальные </w:t>
      </w:r>
      <w:r w:rsidRPr="00E61887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закупки – один из крупнейших сегментов экономики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города,</w:t>
      </w:r>
      <w:r w:rsidRPr="00E61887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а создание конкурентной и прозрачной среды в этой сфере является ключевой задачей для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местных</w:t>
      </w:r>
      <w:r w:rsidRPr="00E61887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властей.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</w:t>
      </w:r>
    </w:p>
    <w:p w14:paraId="449F012D" w14:textId="77777777" w:rsidR="000D1567" w:rsidRPr="009A1578" w:rsidRDefault="000D1567" w:rsidP="000D1567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      </w:t>
      </w:r>
      <w:r w:rsidRPr="00E828B4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В </w:t>
      </w:r>
      <w:r w:rsidRPr="009A1578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в 2020 г. в Снежинском городском округе было осуществлено закупок в объеме 685,2 млн. руб., заключено контрактов на общую сумму 649,9 млн. руб., в том числе:</w:t>
      </w:r>
    </w:p>
    <w:p w14:paraId="22FD017A" w14:textId="77777777" w:rsidR="000D1567" w:rsidRPr="009A1578" w:rsidRDefault="000D1567" w:rsidP="000D156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bookmarkStart w:id="0" w:name="_Hlk536178923"/>
      <w:r w:rsidRPr="009A1578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заключено контрактов по результатам проведения конкурентных процедур на сумму 295,3 млн. руб., что составляет 45,4 % от общей суммы заключенных контрактов;</w:t>
      </w:r>
    </w:p>
    <w:p w14:paraId="5F2E6EE6" w14:textId="77777777" w:rsidR="000D1567" w:rsidRPr="009A1578" w:rsidRDefault="000D1567" w:rsidP="000D1567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0" w:firstLine="360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9A1578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по результатам закупок у единственного поставщика без проведения конкурентных процедур (коммунальные услуги и пр.) на сумму 128,6 млн. руб., что составляет 19,8 % от общей суммы заключенных контрактов;</w:t>
      </w:r>
    </w:p>
    <w:p w14:paraId="136155A2" w14:textId="77777777" w:rsidR="000D1567" w:rsidRDefault="000D1567" w:rsidP="000D1567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0" w:firstLine="360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9A1578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по результатам закупок у единственного поставщика без проведения конкурентных процедур, так называемые закупки малого объема, на сумму 226 млн. руб., что составляет 34,8 % от общей суммы заключенных контрактов.</w:t>
      </w:r>
    </w:p>
    <w:p w14:paraId="181EE6CB" w14:textId="77777777" w:rsidR="000D1567" w:rsidRPr="00C605A4" w:rsidRDefault="000D1567" w:rsidP="000D1567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             </w:t>
      </w:r>
      <w:bookmarkEnd w:id="0"/>
      <w:r w:rsidRPr="00C605A4">
        <w:rPr>
          <w:rFonts w:ascii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38FC111" wp14:editId="0CEE72AF">
            <wp:extent cx="6229805" cy="3125338"/>
            <wp:effectExtent l="0" t="0" r="0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488C366" w14:textId="77777777" w:rsidR="000D1567" w:rsidRDefault="000D1567" w:rsidP="000D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bookmarkStart w:id="1" w:name="_Hlk63170064"/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bookmarkEnd w:id="1"/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Согласно приведенной таблице, можно увидеть, что по сравнению с 2019 годом доля конкурентных закупок уменьшилась на 4,1%.</w:t>
      </w:r>
    </w:p>
    <w:p w14:paraId="3DBD0F19" w14:textId="77777777" w:rsidR="000D1567" w:rsidRDefault="000D1567" w:rsidP="000D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          </w:t>
      </w:r>
      <w:r w:rsidRPr="006F366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На уменьшение доли конкурентных закупок повлиял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а </w:t>
      </w:r>
      <w:r w:rsidRPr="00380D2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сложн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ая</w:t>
      </w:r>
      <w:r w:rsidRPr="00380D2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ситуаци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я</w:t>
      </w:r>
      <w:r w:rsidRPr="00380D2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, связанн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ая</w:t>
      </w:r>
      <w:r w:rsidRPr="00380D2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с распространением новой коронавирусной инфекции, вызванной 2019-nCoV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.</w:t>
      </w:r>
    </w:p>
    <w:p w14:paraId="18F9136B" w14:textId="6A1E7271" w:rsidR="000D1567" w:rsidRPr="006F3661" w:rsidRDefault="000D1567" w:rsidP="000D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lastRenderedPageBreak/>
        <w:t xml:space="preserve">          Также на ситуацию повлияли </w:t>
      </w:r>
      <w:r w:rsidRPr="006F366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изменения, внесенные в Закон о контрактной системе, согласно которым, законодатель увеличил </w:t>
      </w:r>
      <w:proofErr w:type="gramStart"/>
      <w:r w:rsidRPr="006F366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сумму</w:t>
      </w:r>
      <w:proofErr w:type="gramEnd"/>
      <w:r w:rsidRPr="006F366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на которую заказчики могут заключать контракты без проведения торгов с 300 тыс. руб. до 600 тыс. руб.</w:t>
      </w:r>
    </w:p>
    <w:p w14:paraId="266AA17A" w14:textId="77777777" w:rsidR="000D1567" w:rsidRDefault="000D1567" w:rsidP="000D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6F366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 </w:t>
      </w:r>
      <w:r w:rsidRPr="006F366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Данным нововведением воспользовались </w:t>
      </w:r>
      <w:r w:rsidRPr="004F5E55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учреждения подведомственные Управлению образования, Управлению культуры, и,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стали осуществлять закупки в основном путем заключения «прямых» контрактов у т.н. «единственного поставщика».</w:t>
      </w:r>
    </w:p>
    <w:p w14:paraId="63C1823C" w14:textId="77777777" w:rsidR="000D1567" w:rsidRDefault="000D1567" w:rsidP="000D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         </w:t>
      </w:r>
    </w:p>
    <w:p w14:paraId="11AE2B7D" w14:textId="77777777" w:rsidR="000D1567" w:rsidRPr="006F2E49" w:rsidRDefault="000D1567" w:rsidP="000D1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        </w:t>
      </w:r>
      <w:r w:rsidRPr="006F2E49"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zh-CN"/>
        </w:rPr>
        <w:t>Не провели ни одной конкурентной закупки следующие заказчики:</w:t>
      </w:r>
    </w:p>
    <w:p w14:paraId="61C71F44" w14:textId="77777777" w:rsidR="000D1567" w:rsidRDefault="000D1567" w:rsidP="000D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- </w:t>
      </w:r>
      <w:proofErr w:type="spellStart"/>
      <w:r w:rsidRPr="000C1E64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УФиС</w:t>
      </w:r>
      <w:proofErr w:type="spellEnd"/>
      <w:r w:rsidRPr="000C1E64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и подведомственные </w:t>
      </w:r>
      <w:r w:rsidRPr="000C1E64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;</w:t>
      </w:r>
    </w:p>
    <w:p w14:paraId="2F077122" w14:textId="77777777" w:rsidR="000D1567" w:rsidRDefault="000D1567" w:rsidP="000D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- </w:t>
      </w:r>
      <w:r w:rsidRPr="006F366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УСЗН г. Снежинска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</w:t>
      </w:r>
      <w:r w:rsidRPr="000C1E64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и подведомственные учреждения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;</w:t>
      </w:r>
    </w:p>
    <w:p w14:paraId="4B8C01BD" w14:textId="77777777" w:rsidR="000D1567" w:rsidRDefault="000D1567" w:rsidP="000D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- </w:t>
      </w:r>
      <w:r w:rsidRPr="006F366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МБУ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«</w:t>
      </w:r>
      <w:r w:rsidRPr="006F366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ОМОС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»;</w:t>
      </w:r>
    </w:p>
    <w:p w14:paraId="552B8813" w14:textId="77777777" w:rsidR="000D1567" w:rsidRDefault="000D1567" w:rsidP="000D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- </w:t>
      </w:r>
      <w:r w:rsidRPr="006F366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Управление ГОЧС г.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</w:t>
      </w:r>
      <w:r w:rsidRPr="006F366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Снежинска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;</w:t>
      </w:r>
    </w:p>
    <w:p w14:paraId="021027A2" w14:textId="77777777" w:rsidR="000D1567" w:rsidRDefault="000D1567" w:rsidP="000D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- МКУ «Ритуал»;</w:t>
      </w:r>
    </w:p>
    <w:p w14:paraId="40CD2674" w14:textId="77777777" w:rsidR="000D1567" w:rsidRDefault="000D1567" w:rsidP="000D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- МКП «Энергетик».</w:t>
      </w:r>
    </w:p>
    <w:p w14:paraId="1948F741" w14:textId="77777777" w:rsidR="000D1567" w:rsidRDefault="000D1567" w:rsidP="000D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          </w:t>
      </w:r>
    </w:p>
    <w:p w14:paraId="1F422B31" w14:textId="2D193870" w:rsidR="000D1567" w:rsidRDefault="000D1567" w:rsidP="000D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        </w:t>
      </w:r>
      <w:r w:rsidRPr="0029480F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Вследствие непростой экономической ситуации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, сложившейся в 2020</w:t>
      </w:r>
      <w:r w:rsidRPr="0029480F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году, необходимо рекомендовать вышеуказанным </w:t>
      </w:r>
      <w:r w:rsidRPr="0029480F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заказчик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ам</w:t>
      </w:r>
      <w:r w:rsidRPr="0029480F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оптимизировать свои расходы и экономить бюджетные средства, в том числе за счет проведения конкурентных процедур с реальным снижением цен.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</w:t>
      </w:r>
    </w:p>
    <w:p w14:paraId="487FC194" w14:textId="77777777" w:rsidR="000D1567" w:rsidRDefault="000D1567" w:rsidP="000D1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        </w:t>
      </w:r>
    </w:p>
    <w:p w14:paraId="68322F3E" w14:textId="77777777" w:rsidR="000D1567" w:rsidRPr="00093ECA" w:rsidRDefault="000D1567" w:rsidP="000D1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        </w:t>
      </w:r>
      <w:r w:rsidRPr="00093EC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Хотелось бы отметить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и поблагодарить </w:t>
      </w:r>
      <w:r w:rsidRPr="00093EC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заказчиков, которые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</w:t>
      </w:r>
      <w:r w:rsidRPr="00093ECA"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zh-CN"/>
        </w:rPr>
        <w:t>проводят закупки в основном путем</w:t>
      </w:r>
      <w:r w:rsidRPr="00093EC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</w:t>
      </w:r>
      <w:r w:rsidRPr="00093ECA"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zh-CN"/>
        </w:rPr>
        <w:t>проведения электронных аукционов</w:t>
      </w:r>
      <w:r w:rsidRPr="00093EC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: </w:t>
      </w:r>
    </w:p>
    <w:p w14:paraId="684B4D9D" w14:textId="77777777" w:rsidR="000D1567" w:rsidRPr="00625AA4" w:rsidRDefault="000D1567" w:rsidP="000D15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625AA4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- МКУ «СЗСР» - 98 % от всех закупок;</w:t>
      </w:r>
    </w:p>
    <w:p w14:paraId="2BED760C" w14:textId="77777777" w:rsidR="000D1567" w:rsidRPr="00625AA4" w:rsidRDefault="000D1567" w:rsidP="000D15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625AA4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- УГХ СГО – 84% от всех закупок;</w:t>
      </w:r>
    </w:p>
    <w:p w14:paraId="4FD6876B" w14:textId="77777777" w:rsidR="000D1567" w:rsidRPr="00625AA4" w:rsidRDefault="000D1567" w:rsidP="000D15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625AA4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- администрация города Снежинска - 69,8% от всех закупок;</w:t>
      </w:r>
    </w:p>
    <w:p w14:paraId="741604A3" w14:textId="77777777" w:rsidR="000D1567" w:rsidRPr="00625AA4" w:rsidRDefault="000D1567" w:rsidP="000D15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625AA4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- МКП «Чистый город» - 66,6%</w:t>
      </w:r>
      <w:r w:rsidRPr="00625AA4">
        <w:rPr>
          <w:lang w:val="ru-RU"/>
        </w:rPr>
        <w:t xml:space="preserve"> </w:t>
      </w:r>
      <w:r w:rsidRPr="00625AA4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от всех закупок;</w:t>
      </w:r>
    </w:p>
    <w:p w14:paraId="0BBCC938" w14:textId="77777777" w:rsidR="000D1567" w:rsidRPr="00625AA4" w:rsidRDefault="000D1567" w:rsidP="000D156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625AA4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-  КУИ города Снежинска – 66,2% от всех закупок.</w:t>
      </w:r>
    </w:p>
    <w:p w14:paraId="64802150" w14:textId="77777777" w:rsidR="000D1567" w:rsidRDefault="000D1567" w:rsidP="000D1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      </w:t>
      </w:r>
    </w:p>
    <w:p w14:paraId="228AEE34" w14:textId="3B96DCEE" w:rsidR="000D1567" w:rsidRDefault="000D1567" w:rsidP="000D1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       </w:t>
      </w:r>
      <w:r w:rsidRPr="006F366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Именно благодаря проведению конкурентных закупок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э</w:t>
      </w:r>
      <w:r w:rsidRPr="009C3F8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кономия по результатам проведения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торгов</w:t>
      </w:r>
      <w:r w:rsidRPr="009C3F8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за 2020 год более чем двукратно превысила экономию за 2019 год и составила </w:t>
      </w:r>
      <w:r w:rsidRPr="00625AA4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35,3 млн. руб.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</w:t>
      </w:r>
      <w:r w:rsidRPr="00380D2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(10,7 %),</w:t>
      </w:r>
      <w:r>
        <w:rPr>
          <w:rFonts w:ascii="Times New Roman" w:eastAsia="Times New Roman" w:hAnsi="Times New Roman" w:cs="Times New Roman"/>
          <w:i/>
          <w:iCs/>
          <w:sz w:val="28"/>
          <w:szCs w:val="20"/>
          <w:lang w:val="ru-RU" w:eastAsia="zh-CN"/>
        </w:rPr>
        <w:t xml:space="preserve"> </w:t>
      </w:r>
      <w:r w:rsidRPr="006F366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которые были направлены на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закупку</w:t>
      </w:r>
      <w:r w:rsidRPr="006F366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дополнительных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товаров, </w:t>
      </w:r>
      <w:r w:rsidRPr="006F366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работ и услуг.</w:t>
      </w:r>
    </w:p>
    <w:p w14:paraId="46E10932" w14:textId="77777777" w:rsidR="000D1567" w:rsidRPr="00C605A4" w:rsidRDefault="000D1567" w:rsidP="000D15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32B25E52" wp14:editId="7FD932D9">
            <wp:extent cx="5663394" cy="3193576"/>
            <wp:effectExtent l="0" t="0" r="1397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22AA7DE" w14:textId="77777777" w:rsidR="000D1567" w:rsidRDefault="000D1567" w:rsidP="000D1567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F3452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452F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F3452F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>кономия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, сложившаяся в </w:t>
      </w:r>
      <w:r w:rsidRPr="002F51A3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е</w:t>
      </w:r>
      <w:r w:rsidRPr="002F51A3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закупок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по видам </w:t>
      </w:r>
      <w:r w:rsidRPr="002F51A3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организаций представлена в нижеследующей диаграмме.</w:t>
      </w:r>
    </w:p>
    <w:p w14:paraId="7976CE48" w14:textId="77777777" w:rsidR="000D1567" w:rsidRDefault="000D1567" w:rsidP="000D1567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val="ru-RU" w:eastAsia="zh-CN"/>
        </w:rPr>
        <w:drawing>
          <wp:inline distT="0" distB="0" distL="0" distR="0" wp14:anchorId="4A809E7A" wp14:editId="434C7AAC">
            <wp:extent cx="6130137" cy="2624455"/>
            <wp:effectExtent l="0" t="0" r="4445" b="444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DD489CE" w14:textId="77777777" w:rsidR="000D1567" w:rsidRDefault="000D1567" w:rsidP="000D1567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  <w:t xml:space="preserve">В </w:t>
      </w:r>
      <w:r w:rsidRPr="009C3F8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соответствии с требованиями ст.30 Закона о контрактной системе проведены закупки у субъектов малого предпринимательства, на сумму 208,4 млн. руб., что составляет 63 % от суммы всех закупок, по которым были заключены контракты.</w:t>
      </w:r>
    </w:p>
    <w:p w14:paraId="3DB7822C" w14:textId="77777777" w:rsidR="000D1567" w:rsidRPr="009C3F81" w:rsidRDefault="000D1567" w:rsidP="000D1567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9C3F81">
        <w:rPr>
          <w:rFonts w:ascii="Times New Roman" w:eastAsia="Calibri" w:hAnsi="Times New Roman" w:cs="Times New Roman"/>
          <w:sz w:val="28"/>
          <w:szCs w:val="28"/>
          <w:lang w:val="ru-RU"/>
        </w:rPr>
        <w:t>В 2020 году отделом муниципальных закупок была проведена работа по нормированию закупок, пересмотрены правовые акты в сфере нормирования закупок, по некоторым позициям пересмотрены нормы, признаны утратившими силу 4 постановления администрации, взамен принято 4 постановления администрации.</w:t>
      </w:r>
    </w:p>
    <w:p w14:paraId="44099FC3" w14:textId="77777777" w:rsidR="000D1567" w:rsidRDefault="000D1567" w:rsidP="000D1567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  <w:t xml:space="preserve">В целях </w:t>
      </w:r>
      <w:r w:rsidRPr="00C5101F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соблюдения принципа прозрачности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закупок</w:t>
      </w:r>
      <w:r w:rsidRPr="00C5101F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на официальном сайте органов местного самоуправления муниципального образования </w:t>
      </w:r>
      <w:r w:rsidRPr="00C5101F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lastRenderedPageBreak/>
        <w:t>«Город Снежинск» www.snzadm.ru в сети Интернет предусмотрен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и поддерживается в актуальном состоянии раздел</w:t>
      </w:r>
      <w:r w:rsidRPr="00C5101F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Муниципальный заказ</w:t>
      </w:r>
      <w:r w:rsidRPr="00C5101F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</w:t>
      </w:r>
      <w:r w:rsidRPr="00C5101F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с подразделами </w:t>
      </w:r>
      <w:r w:rsidRPr="009C3F81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«Витрина закупок»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,</w:t>
      </w:r>
      <w:r w:rsidRPr="00C5101F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Статистика закупок по городу Снежинску</w:t>
      </w:r>
      <w:r w:rsidRPr="00C5101F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», «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Информация для заказчиков</w:t>
      </w:r>
      <w:r w:rsidRPr="00C5101F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, </w:t>
      </w:r>
      <w:r w:rsidRPr="00686A0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«Нормативные документы»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, «Нормирование в сфере закупок»</w:t>
      </w:r>
      <w:r w:rsidRPr="00C5101F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</w:t>
      </w:r>
    </w:p>
    <w:p w14:paraId="4042C425" w14:textId="77777777" w:rsidR="000D1567" w:rsidRDefault="000D1567" w:rsidP="000D1567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63F3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В 20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20</w:t>
      </w:r>
      <w:r w:rsidRPr="00E63F3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году в Закон о контрактной системе было внесено достаточно большое количество изменений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. </w:t>
      </w:r>
      <w:r w:rsidRPr="006D3FB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Изменения внос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ились</w:t>
      </w:r>
      <w:r w:rsidRPr="006D3FB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как в сам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З</w:t>
      </w:r>
      <w:r w:rsidRPr="006D3FB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акон о контрактной системе, так и в подзаконные акты, принятые в его развитие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.</w:t>
      </w:r>
    </w:p>
    <w:p w14:paraId="5C6BA425" w14:textId="77777777" w:rsidR="000D1567" w:rsidRDefault="000D1567" w:rsidP="000D1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6D3FB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В целях защиты внутреннего рынка Российской Федерации, развития национальной экономики, поддержки российских товаропроизводителей нормативными правовыми актами Правительства РФ установлен запрет на допуск товаров, происходящих из иностранных государств, минимальная обязательная дол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я</w:t>
      </w:r>
      <w:r w:rsidRPr="006D3FB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закупок российских товаров и перечень таких товаров. Заказчики обязаны будут соблюдать данное требование с начала 2021 года.</w:t>
      </w:r>
    </w:p>
    <w:p w14:paraId="2884FE14" w14:textId="77777777" w:rsidR="000D1567" w:rsidRDefault="000D1567" w:rsidP="000D1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</w:p>
    <w:p w14:paraId="1114088E" w14:textId="77777777" w:rsidR="000D1567" w:rsidRDefault="000D1567" w:rsidP="000D1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  <w:t xml:space="preserve">Часть изменений в Закон о контрактной системе </w:t>
      </w:r>
      <w:r w:rsidRPr="0012017C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был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а</w:t>
      </w:r>
      <w:r w:rsidRPr="0012017C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внесен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а</w:t>
      </w:r>
      <w:r w:rsidRPr="0012017C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в связи с распространением новой коронавирусной инфекции, вызванной 2019-nCoV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и действовала до 31.12.2020 г., например:</w:t>
      </w:r>
    </w:p>
    <w:p w14:paraId="4898E768" w14:textId="77777777" w:rsidR="000D1567" w:rsidRPr="0012017C" w:rsidRDefault="000D1567" w:rsidP="000D1567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- </w:t>
      </w:r>
      <w:r w:rsidRPr="0012017C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заказчик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имел право</w:t>
      </w:r>
      <w:r w:rsidRPr="0012017C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не устанавливать требование обеспечения исполнения контракта, обеспечения гарантийных обязательств для субъектов малого предпринимательства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и</w:t>
      </w:r>
      <w:r w:rsidRPr="0012017C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социально ориентированны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х</w:t>
      </w:r>
      <w:r w:rsidRPr="0012017C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некоммерчески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х</w:t>
      </w:r>
      <w:r w:rsidRPr="0012017C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й</w:t>
      </w:r>
      <w:r w:rsidRPr="0012017C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, за исключением случая, если контрактом предусмотрена выплата аванса;</w:t>
      </w:r>
    </w:p>
    <w:p w14:paraId="2CF266FC" w14:textId="77777777" w:rsidR="000D1567" w:rsidRPr="006D3FBA" w:rsidRDefault="000D1567" w:rsidP="000D1567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12017C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- по соглашению сторон допуска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лось</w:t>
      </w:r>
      <w:r w:rsidRPr="0012017C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изменение срока исполнения контракта, цены контракта, размера аванса (если контрактом предусмотрена выплата аванса</w:t>
      </w:r>
      <w:r w:rsidRPr="006D3FB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). </w:t>
      </w:r>
    </w:p>
    <w:p w14:paraId="6A65A218" w14:textId="77777777" w:rsidR="000D1567" w:rsidRPr="009036B1" w:rsidRDefault="000D1567" w:rsidP="000D15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D3FB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</w:t>
      </w:r>
      <w:r w:rsidRPr="006D3FB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6D3FBA">
        <w:rPr>
          <w:rFonts w:ascii="Times New Roman" w:hAnsi="Times New Roman" w:cs="Times New Roman"/>
          <w:sz w:val="28"/>
          <w:szCs w:val="28"/>
          <w:lang w:val="ru-RU"/>
        </w:rPr>
        <w:t>В конце года Правительством РФ подготовлен пакет поправок об упрощении закупок. Проект направлен на улучшение порядка и способов определения поставщика, подрядчика, исполнителя.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3FBA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9036B1">
        <w:rPr>
          <w:rFonts w:ascii="Times New Roman" w:hAnsi="Times New Roman" w:cs="Times New Roman"/>
          <w:sz w:val="28"/>
          <w:szCs w:val="28"/>
          <w:lang w:val="ru-RU"/>
        </w:rPr>
        <w:t>реди прочего планируют:</w:t>
      </w:r>
    </w:p>
    <w:p w14:paraId="580856AC" w14:textId="77777777" w:rsidR="000D1567" w:rsidRPr="009036B1" w:rsidRDefault="000D1567" w:rsidP="000D1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6B1">
        <w:rPr>
          <w:rFonts w:ascii="Times New Roman" w:hAnsi="Times New Roman" w:cs="Times New Roman"/>
          <w:sz w:val="28"/>
          <w:szCs w:val="28"/>
          <w:lang w:val="ru-RU"/>
        </w:rPr>
        <w:t>- существенно сократить количество способов определения поставщика;</w:t>
      </w:r>
    </w:p>
    <w:p w14:paraId="52F1EA29" w14:textId="77777777" w:rsidR="000D1567" w:rsidRPr="009036B1" w:rsidRDefault="000D1567" w:rsidP="000D1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6B1">
        <w:rPr>
          <w:rFonts w:ascii="Times New Roman" w:hAnsi="Times New Roman" w:cs="Times New Roman"/>
          <w:sz w:val="28"/>
          <w:szCs w:val="28"/>
          <w:lang w:val="ru-RU"/>
        </w:rPr>
        <w:t>- ввести электронный документооборот на всем жизненном цикле закупки;</w:t>
      </w:r>
    </w:p>
    <w:p w14:paraId="25B11365" w14:textId="77777777" w:rsidR="000D1567" w:rsidRPr="009036B1" w:rsidRDefault="000D1567" w:rsidP="000D1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6B1">
        <w:rPr>
          <w:rFonts w:ascii="Times New Roman" w:hAnsi="Times New Roman" w:cs="Times New Roman"/>
          <w:sz w:val="28"/>
          <w:szCs w:val="28"/>
          <w:lang w:val="ru-RU"/>
        </w:rPr>
        <w:t>- унифицировать требования к действиям участников;</w:t>
      </w:r>
    </w:p>
    <w:p w14:paraId="1541BDC5" w14:textId="77777777" w:rsidR="000D1567" w:rsidRPr="009036B1" w:rsidRDefault="000D1567" w:rsidP="000D1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36B1">
        <w:rPr>
          <w:rFonts w:ascii="Times New Roman" w:hAnsi="Times New Roman" w:cs="Times New Roman"/>
          <w:sz w:val="28"/>
          <w:szCs w:val="28"/>
          <w:lang w:val="ru-RU"/>
        </w:rPr>
        <w:t>- сократить количество документов;</w:t>
      </w:r>
    </w:p>
    <w:p w14:paraId="1619EB43" w14:textId="77777777" w:rsidR="000D1567" w:rsidRDefault="000D1567" w:rsidP="000D1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  <w:lang w:val="ru-RU"/>
        </w:rPr>
      </w:pPr>
      <w:r w:rsidRPr="009036B1">
        <w:rPr>
          <w:rFonts w:ascii="Times New Roman" w:hAnsi="Times New Roman" w:cs="Times New Roman"/>
          <w:sz w:val="28"/>
          <w:szCs w:val="28"/>
          <w:lang w:val="ru-RU"/>
        </w:rPr>
        <w:t>- усилить требования к квалификации участников;</w:t>
      </w:r>
    </w:p>
    <w:p w14:paraId="7B6321C2" w14:textId="77777777" w:rsidR="000D1567" w:rsidRDefault="000D1567" w:rsidP="000D1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  <w:lang w:val="ru-RU"/>
        </w:rPr>
      </w:pPr>
    </w:p>
    <w:p w14:paraId="25130710" w14:textId="77777777" w:rsidR="000D1567" w:rsidRDefault="000D1567" w:rsidP="000D1567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6D3FB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Подводя итог, можно сказать, что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заказчики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Снежинского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городского округа </w:t>
      </w:r>
      <w:r w:rsidRPr="006D3FB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своевременно реагировал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и</w:t>
      </w:r>
      <w:r w:rsidRPr="006D3FB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на новые условия и обстоятельства, которые преподнесла пандемия, и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,</w:t>
      </w:r>
      <w:r w:rsidRPr="006D3FB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достаточно </w:t>
      </w:r>
      <w:r w:rsidRPr="006D3FB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эффективно осуществля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ли </w:t>
      </w:r>
      <w:r w:rsidRPr="006D3FBA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закупки для обеспечения муниципальных нужд.</w:t>
      </w:r>
    </w:p>
    <w:p w14:paraId="6602C6C1" w14:textId="25A671CD" w:rsidR="000D1567" w:rsidRPr="00562DE0" w:rsidRDefault="000D1567" w:rsidP="000D1567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lastRenderedPageBreak/>
        <w:tab/>
        <w:t>В</w:t>
      </w:r>
      <w:r w:rsidRPr="00E61887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целях развития конкуренции и стимулирования предпринимательской активности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п</w:t>
      </w:r>
      <w:r w:rsidRPr="00E63F3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еред муниципальными заказчиками </w:t>
      </w:r>
      <w:proofErr w:type="spellStart"/>
      <w:r w:rsidRPr="00E63F3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Снежинского</w:t>
      </w:r>
      <w:proofErr w:type="spellEnd"/>
      <w:r w:rsidRPr="00E63F3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городского округа на 20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2</w:t>
      </w:r>
      <w:r w:rsidRPr="00467E15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1</w:t>
      </w:r>
      <w:r w:rsidRPr="00E63F3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поставлены задачи по </w:t>
      </w:r>
      <w:r w:rsidRPr="00E63F3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повышени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ю</w:t>
      </w:r>
      <w:r w:rsidRPr="00E63F3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эффективности использования бюджетных средств при проведении закупок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, </w:t>
      </w:r>
      <w:r w:rsidRPr="00E63F3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увеличени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ю</w:t>
      </w:r>
      <w:r w:rsidRPr="00E63F3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числа закупок, проводимых конкурентными способами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, увеличение </w:t>
      </w:r>
      <w:r w:rsidRPr="00467E15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дол</w:t>
      </w:r>
      <w:r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и</w:t>
      </w:r>
      <w:r w:rsidRPr="00467E15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 закупок российских товаров</w:t>
      </w:r>
      <w:r w:rsidRPr="00E63F39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.</w:t>
      </w:r>
    </w:p>
    <w:p w14:paraId="40BC711D" w14:textId="77777777" w:rsidR="0078355C" w:rsidRPr="000D1567" w:rsidRDefault="00964118">
      <w:pPr>
        <w:rPr>
          <w:lang w:val="ru-RU"/>
        </w:rPr>
      </w:pPr>
    </w:p>
    <w:sectPr w:rsidR="0078355C" w:rsidRPr="000D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F4B6E"/>
    <w:multiLevelType w:val="multilevel"/>
    <w:tmpl w:val="E9D4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CB"/>
    <w:rsid w:val="0001384D"/>
    <w:rsid w:val="000D1567"/>
    <w:rsid w:val="002B6336"/>
    <w:rsid w:val="004C3ECB"/>
    <w:rsid w:val="00964118"/>
    <w:rsid w:val="00F2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AAE7"/>
  <w15:chartTrackingRefBased/>
  <w15:docId w15:val="{FDC798A5-1F52-4C72-9318-0CD1D479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56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Доля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конкурентных закупок от общей суммы заключенных контрактов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Заключено всего контрактов, млн.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494793835901708E-2"/>
                  <c:y val="-2.1742506600403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E32-4098-85E4-5A1F175F338D}"/>
                </c:ext>
              </c:extLst>
            </c:dLbl>
            <c:dLbl>
              <c:idx val="1"/>
              <c:layout>
                <c:manualLayout>
                  <c:x val="1.2494793835901708E-2"/>
                  <c:y val="-2.1742506600403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32-4098-85E4-5A1F175F338D}"/>
                </c:ext>
              </c:extLst>
            </c:dLbl>
            <c:dLbl>
              <c:idx val="2"/>
              <c:layout>
                <c:manualLayout>
                  <c:x val="1.2494793835901708E-2"/>
                  <c:y val="-7.59734093067429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E32-4098-85E4-5A1F175F338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547.20000000000005</c:v>
                </c:pt>
                <c:pt idx="1">
                  <c:v>629.4</c:v>
                </c:pt>
                <c:pt idx="2">
                  <c:v>649.9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32-4098-85E4-5A1F175F33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Заключено контрактов по результатам конкурентных процедур, млн. руб.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4577259475218658E-2"/>
                  <c:y val="-2.1742506600403791E-2"/>
                </c:manualLayout>
              </c:layout>
              <c:tx>
                <c:rich>
                  <a:bodyPr/>
                  <a:lstStyle/>
                  <a:p>
                    <a:fld id="{00231A8E-5195-42FD-95BC-DB86957922AF}" type="VALUE">
                      <a:rPr lang="en-US"/>
                      <a:pPr/>
                      <a:t>[ЗНАЧЕНИЕ]</a:t>
                    </a:fld>
                    <a:r>
                      <a:rPr lang="en-US"/>
                      <a:t>; 40,4%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E32-4098-85E4-5A1F175F338D}"/>
                </c:ext>
              </c:extLst>
            </c:dLbl>
            <c:dLbl>
              <c:idx val="1"/>
              <c:layout>
                <c:manualLayout>
                  <c:x val="1.4577259475218658E-2"/>
                  <c:y val="-1.8636434228917535E-2"/>
                </c:manualLayout>
              </c:layout>
              <c:tx>
                <c:rich>
                  <a:bodyPr/>
                  <a:lstStyle/>
                  <a:p>
                    <a:fld id="{E0014C05-E1E1-44E6-986B-4456BEF1D79E}" type="VALUE">
                      <a:rPr lang="en-US"/>
                      <a:pPr/>
                      <a:t>[ЗНАЧЕНИЕ]</a:t>
                    </a:fld>
                    <a:r>
                      <a:rPr lang="en-US"/>
                      <a:t>; 49,5%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E32-4098-85E4-5A1F175F338D}"/>
                </c:ext>
              </c:extLst>
            </c:dLbl>
            <c:dLbl>
              <c:idx val="2"/>
              <c:layout>
                <c:manualLayout>
                  <c:x val="1.8742190753852563E-2"/>
                  <c:y val="-1.1396011396011397E-2"/>
                </c:manualLayout>
              </c:layout>
              <c:tx>
                <c:rich>
                  <a:bodyPr/>
                  <a:lstStyle/>
                  <a:p>
                    <a:fld id="{123DC130-1944-49CA-A1C6-33434F6EF866}" type="VALUE">
                      <a:rPr lang="en-US"/>
                      <a:pPr/>
                      <a:t>[ЗНАЧЕНИЕ]</a:t>
                    </a:fld>
                    <a:r>
                      <a:rPr lang="en-US"/>
                      <a:t>; 45,4%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1E32-4098-85E4-5A1F175F338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220.9</c:v>
                </c:pt>
                <c:pt idx="1">
                  <c:v>311.39999999999998</c:v>
                </c:pt>
                <c:pt idx="2">
                  <c:v>295.3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E32-4098-85E4-5A1F175F33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5783616"/>
        <c:axId val="595787552"/>
        <c:axId val="0"/>
      </c:bar3DChart>
      <c:catAx>
        <c:axId val="595783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95787552"/>
        <c:crosses val="autoZero"/>
        <c:auto val="1"/>
        <c:lblAlgn val="ctr"/>
        <c:lblOffset val="100"/>
        <c:noMultiLvlLbl val="0"/>
      </c:catAx>
      <c:valAx>
        <c:axId val="595787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578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Экономия по закупкам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Экономия, млн.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5F8FD5CE-D620-40E2-BE87-2149912DEAD0}" type="VALUE">
                      <a:rPr lang="en-US"/>
                      <a:pPr/>
                      <a:t>[ЗНАЧЕНИЕ]</a:t>
                    </a:fld>
                    <a:r>
                      <a:rPr lang="en-US"/>
                      <a:t>; 11,6%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6D1-439C-9C79-1075CC74290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27620F1-D797-4890-B6B4-6761AAE74000}" type="VALUE">
                      <a:rPr lang="en-US"/>
                      <a:pPr/>
                      <a:t>[ЗНАЧЕНИЕ]</a:t>
                    </a:fld>
                    <a:r>
                      <a:rPr lang="en-US"/>
                      <a:t>; 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6D1-439C-9C79-1075CC74290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438B0FFC-93EE-4F81-989B-0048ECD4ACE3}" type="VALUE">
                      <a:rPr lang="en-US"/>
                      <a:pPr/>
                      <a:t>[ЗНАЧЕНИЕ]</a:t>
                    </a:fld>
                    <a:r>
                      <a:rPr lang="en-US"/>
                      <a:t>; 10,7%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6D1-439C-9C79-1075CC742901}"/>
                </c:ext>
              </c:extLst>
            </c:dLbl>
            <c:spPr>
              <a:solidFill>
                <a:schemeClr val="bg1">
                  <a:lumMod val="85000"/>
                </a:schemeClr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ctr" anchorCtr="0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29.1</c:v>
                </c:pt>
                <c:pt idx="1">
                  <c:v>16.399999999999999</c:v>
                </c:pt>
                <c:pt idx="2">
                  <c:v>35.299999999999997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D1-439C-9C79-1075CC7429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95803296"/>
        <c:axId val="595806904"/>
        <c:axId val="0"/>
      </c:bar3DChart>
      <c:catAx>
        <c:axId val="59580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95806904"/>
        <c:crosses val="autoZero"/>
        <c:auto val="1"/>
        <c:lblAlgn val="ctr"/>
        <c:lblOffset val="100"/>
        <c:noMultiLvlLbl val="0"/>
      </c:catAx>
      <c:valAx>
        <c:axId val="595806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5803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50800" dir="5400000" sx="9000" sy="9000" algn="ctr" rotWithShape="0">
        <a:srgbClr val="000000">
          <a:alpha val="43137"/>
        </a:srgbClr>
      </a:outerShdw>
    </a:effectLst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Экономия в 2020 году, млн. руб.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 в 2020 году, млн. руб.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46-4B6C-826C-AD961D9F9D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46-4B6C-826C-AD961D9F9D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46-4B6C-826C-AD961D9F9DAB}"/>
              </c:ext>
            </c:extLst>
          </c:dPt>
          <c:dLbls>
            <c:dLbl>
              <c:idx val="0"/>
              <c:tx>
                <c:rich>
                  <a:bodyPr rot="0" spcFirstLastPara="1" vertOverflow="overflow" horzOverflow="overflow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ln>
                          <a:noFill/>
                        </a:ln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baseline="0"/>
                      <a:t>24,1; 68,3%</a:t>
                    </a:r>
                  </a:p>
                </c:rich>
              </c:tx>
              <c:spPr>
                <a:solidFill>
                  <a:schemeClr val="bg1">
                    <a:lumMod val="85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ln>
                        <a:noFill/>
                      </a:ln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246-4B6C-826C-AD961D9F9DAB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ln>
                          <a:noFill/>
                        </a:ln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baseline="0"/>
                      <a:t>10,2; 29%</a:t>
                    </a:r>
                  </a:p>
                </c:rich>
              </c:tx>
              <c:spPr>
                <a:solidFill>
                  <a:schemeClr val="bg1">
                    <a:lumMod val="85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ln>
                        <a:noFill/>
                      </a:ln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246-4B6C-826C-AD961D9F9DAB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0" i="0" u="none" strike="noStrike" kern="1200" baseline="0">
                        <a:ln>
                          <a:noFill/>
                        </a:ln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baseline="0"/>
                      <a:t>1; 2,7%</a:t>
                    </a:r>
                  </a:p>
                </c:rich>
              </c:tx>
              <c:spPr>
                <a:solidFill>
                  <a:schemeClr val="bg1">
                    <a:lumMod val="85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ln>
                        <a:noFill/>
                      </a:ln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D246-4B6C-826C-AD961D9F9DAB}"/>
                </c:ext>
              </c:extLst>
            </c:dLbl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Казенные учреждения</c:v>
                </c:pt>
                <c:pt idx="1">
                  <c:v>Бюджетные учреждения</c:v>
                </c:pt>
                <c:pt idx="2">
                  <c:v>Муниципальные предприятия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24.1</c:v>
                </c:pt>
                <c:pt idx="1">
                  <c:v>10.199999999999999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46-4B6C-826C-AD961D9F9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245299286827725"/>
          <c:y val="0.79281793743843965"/>
          <c:w val="0.66761016729326528"/>
          <c:h val="0.17814746299707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Кацай Артур Михайлович</dc:creator>
  <cp:keywords/>
  <dc:description/>
  <cp:lastModifiedBy>Кацай Артур Михайлович</cp:lastModifiedBy>
  <cp:revision>3</cp:revision>
  <dcterms:created xsi:type="dcterms:W3CDTF">2021-05-26T04:06:00Z</dcterms:created>
  <dcterms:modified xsi:type="dcterms:W3CDTF">2021-05-26T04:09:00Z</dcterms:modified>
</cp:coreProperties>
</file>