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82A8" w14:textId="18738FA4" w:rsidR="006A3F4A" w:rsidRPr="006A3F4A" w:rsidRDefault="00FD6E41" w:rsidP="006A3F4A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A3F4A" w:rsidRPr="006A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бобщенная информация о результатах </w:t>
      </w:r>
    </w:p>
    <w:p w14:paraId="41C3ECA6" w14:textId="77777777" w:rsidR="006A3F4A" w:rsidRPr="006A3F4A" w:rsidRDefault="006A3F4A" w:rsidP="006A3F4A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Контрольно-счетной палатой города Снежинска </w:t>
      </w:r>
    </w:p>
    <w:p w14:paraId="57546259" w14:textId="54102FED" w:rsidR="006A3F4A" w:rsidRDefault="006A3F4A" w:rsidP="006A3F4A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в сфере закупок в 1 полугоди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A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14:paraId="0C0B810D" w14:textId="30627D0E" w:rsidR="006A3F4A" w:rsidRDefault="006A3F4A" w:rsidP="006A3F4A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338ED" w14:textId="0AD25603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экспертно-аналитических, контрольных мероприятий. В ходе анализа также использовалась информация, представленная в ответах на запросы Контрольно-счетной палаты города Снежинска, и данные из единой информационной системы.</w:t>
      </w:r>
    </w:p>
    <w:p w14:paraId="10F4CBA5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6457CE" w14:textId="38D6F39A" w:rsidR="006A3F4A" w:rsidRPr="006A3F4A" w:rsidRDefault="006A3F4A" w:rsidP="006A3F4A">
      <w:pPr>
        <w:overflowPunct w:val="0"/>
        <w:autoSpaceDE w:val="0"/>
        <w:spacing w:after="0" w:line="240" w:lineRule="auto"/>
        <w:ind w:left="-11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3F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Принятые сокращения:</w:t>
      </w:r>
    </w:p>
    <w:p w14:paraId="646C15BC" w14:textId="5BBADEAE" w:rsidR="006A3F4A" w:rsidRDefault="006A3F4A" w:rsidP="006A3F4A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№ 44-ФЗ</w:t>
      </w:r>
      <w:r w:rsidRPr="009D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D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05.04.2013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D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D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C13D9E9" w14:textId="77777777" w:rsidR="006A3F4A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РФ – Российская Федерация;</w:t>
      </w:r>
    </w:p>
    <w:p w14:paraId="009BAD1E" w14:textId="77777777" w:rsidR="006A3F4A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Федеральное казначейство - </w:t>
      </w:r>
      <w:r w:rsidRPr="00D6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F4D19D5" w14:textId="77777777" w:rsidR="006A3F4A" w:rsidRPr="00C51EBB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Челябинское УФАС – Управление Федеральной антимонопольной службы по Челябинской области;</w:t>
      </w:r>
    </w:p>
    <w:p w14:paraId="7BE4FA96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СГО – Снежинский городской округ;</w:t>
      </w:r>
    </w:p>
    <w:p w14:paraId="1A6E3BC3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Администрация - администрация Снежинского городского округа;</w:t>
      </w:r>
    </w:p>
    <w:p w14:paraId="11F777A4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Собрание депутатов – Собрание депутатов Снежинского городского округа;</w:t>
      </w:r>
    </w:p>
    <w:p w14:paraId="5DB59336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УКиМП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культуры и молодежной политики администрации города Снежинска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9DD6725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Управление образования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образования администрации города Снежинска»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DCAB8D4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УФиС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физической культуры и спорта администрации города Снежинска»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521744F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УСЗН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социальной защиты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Снежинска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F77C5A1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по делам гражданской обороны и чрезвычайным ситуациям администрации города Снежинска»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0E57D8B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КУИ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«Комитет по управлению имуществом города Снежинска»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F0DFEFC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УГХ СГО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«Управление городского хозяйства Снежинского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6FBD9F1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Финансовое управление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 «Финансовое управление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Снежинского городского округа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6E4EEEF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СЗСР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«Служба по строительству и ремонту»;</w:t>
      </w:r>
    </w:p>
    <w:p w14:paraId="07AF0E62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ЦОДОУ - м</w:t>
      </w:r>
      <w:r w:rsidRPr="00CF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казенное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обеспечения деятельности образовательных учреждений»;</w:t>
      </w:r>
    </w:p>
    <w:p w14:paraId="61C78AFC" w14:textId="77777777" w:rsidR="006A3F4A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AD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«Гимназия № 127»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AD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«Гимназия № 127 имени академика </w:t>
      </w:r>
      <w:proofErr w:type="spellStart"/>
      <w:r w:rsidRPr="00AD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Е.Н.Аврорина</w:t>
      </w:r>
      <w:proofErr w:type="spellEnd"/>
      <w:r w:rsidRPr="00AD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2BC707" w14:textId="77777777" w:rsidR="006A3F4A" w:rsidRPr="0052148B" w:rsidRDefault="006A3F4A" w:rsidP="006A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ЕИС - </w:t>
      </w:r>
      <w:r w:rsidRPr="0073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3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Единой информационной системы в сфере закупок в сети Интернет http://zakupki.gov.ru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D9034" w14:textId="0A9EB23D" w:rsidR="006A3F4A" w:rsidRDefault="006A3F4A" w:rsidP="006A3F4A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756DBB" w14:textId="77777777" w:rsidR="006A3F4A" w:rsidRDefault="006A3F4A" w:rsidP="006A3F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показатели муниципальных закупок.</w:t>
      </w:r>
    </w:p>
    <w:p w14:paraId="3FFF97F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01.07.2021г. совокупный годовой объем закупок (далее – СГОЗ) по СГО (с учетом подведомственных учреждений) составил 563 630,97 тыс. рублей. </w:t>
      </w:r>
    </w:p>
    <w:p w14:paraId="4B74DFE0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79DF2" wp14:editId="0502F7C7">
            <wp:extent cx="5975350" cy="3663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DBD80B8" w14:textId="2C0BBBC5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СГО, осуществляющих закупки в соответствии с Федеральным законом № 44-ФЗ, по состоянию на 01.01.2021 г. создано 28 контрактных служб и назначены 22 контрактных управляющих.</w:t>
      </w:r>
    </w:p>
    <w:p w14:paraId="592F45CA" w14:textId="77777777" w:rsidR="006A3F4A" w:rsidRPr="00247F3B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0005B5" w14:textId="77777777" w:rsidR="006A3F4A" w:rsidRPr="000E5789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1.1. Конкурентные способы закупок. </w:t>
      </w:r>
    </w:p>
    <w:p w14:paraId="7DE7DC0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представленных в ответах на запрос КСП в 1 полугодии 2021г. совокупный объем объявленных заказчиками СГО закупок, которые регулируются Федеральным законом № 44-ФЗ, составил 254 008,67 тыс. рублей. (164 извещения):</w:t>
      </w:r>
    </w:p>
    <w:p w14:paraId="42F1BCC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аукционы на сумму 251 522,97 тыс. рублей (163 извещения);</w:t>
      </w:r>
    </w:p>
    <w:p w14:paraId="4EE336D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с ограниченным участием на сумму 2 485,7 тыс. рублей (1 извещение).</w:t>
      </w:r>
    </w:p>
    <w:p w14:paraId="7DBACFA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 ограниченным участием проводился</w:t>
      </w:r>
      <w:r w:rsidRPr="00AD02D2">
        <w:rPr>
          <w:rFonts w:ascii="Times New Roman" w:hAnsi="Times New Roman" w:cs="Times New Roman"/>
          <w:sz w:val="28"/>
          <w:szCs w:val="28"/>
        </w:rPr>
        <w:t xml:space="preserve"> МБОУ «Гимназия № 127» на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 по о</w:t>
      </w:r>
      <w:r w:rsidRPr="009F7911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7911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 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Учреждением было принято решение об отмене данной закупки на основании предписания </w:t>
      </w:r>
      <w:r>
        <w:rPr>
          <w:rFonts w:ascii="Times New Roman" w:hAnsi="Times New Roman" w:cs="Times New Roman"/>
          <w:sz w:val="28"/>
          <w:szCs w:val="28"/>
        </w:rPr>
        <w:lastRenderedPageBreak/>
        <w:t>№ 074/06/105-594/2021 по делу № 230-ж/2021 об устранении нарушений законодательства РФ о контрактной системе от 03.03.2021г. Согласно решению Челябинского УФАС по делу № 230-ж/2021 жалоба признана частично обоснованной, а именно:</w:t>
      </w:r>
    </w:p>
    <w:p w14:paraId="02BE4BA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Конкурсная документация не соответствует требованиям ч. 5 ст. 56.1 Федерального закона № 44-ФЗ, п. 30 правил оценки заявок, окончательных предложений участников закупки товаров, работ, услуг, утвержденных постановлением Правительства РФ от 28.11.2013г. № 1085 (далее – Правила), а именно установление в конкурсной документации в качестве критерия оценки опыта участника по оказанию услуг сопоставимого характера, так как опыт участника является дополнительным требованием к участникам закупки;</w:t>
      </w:r>
    </w:p>
    <w:p w14:paraId="59695933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оценки заявок не раскрыты перечень и виды учитываемого оборудования (показателя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нестоимостного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критерия), что не позволяет в полной мере определить порядок оценки заявок и противоречит п. 8 ч. 1 ст. 54.3 Федерального закона № 44-ФЗ, пунктам 10, 27 Правил;</w:t>
      </w:r>
    </w:p>
    <w:p w14:paraId="398FEC5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Конкурсная документация не соответствует требованиям п. 1 ч. 1 ст. 54.3, п. 1 ч. 1 ст. 33 Федерального закона № 44-ФЗ, а именно:</w:t>
      </w:r>
    </w:p>
    <w:p w14:paraId="6169DAC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Конкурсной документацией установлен срок оказания услуг с даты заключения контракта, при этом въезд на территорию СГО согласовывается с компетентными органами в срок до 60 суток. Контракт может быть заключен до получения соответствующего разрешения, что не позволит своевременно приступить к оказанию услуг.</w:t>
      </w:r>
    </w:p>
    <w:p w14:paraId="34FA1D9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Установление срока оказания услуг с даты заключения контракта по 31.12.2021г. делает невозможным определить затраты исполнителя, поскольку количество дней оказания услуг варьируется исходя из даты заключения контракта, просчитать которую на дату подачи ценового предложения невозможно.</w:t>
      </w:r>
    </w:p>
    <w:p w14:paraId="7A4D1C63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470490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2020 года двумя учреждениями размещены извещения об осуществлении закупок работ, услуг, согласно которым услуги и работы выполняются в 2021 году:</w:t>
      </w:r>
    </w:p>
    <w:p w14:paraId="6E86F93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извещение о проведении электронного аукциона в ЦОДОУ на сумму 456,53 тыс. рублей (контракт заключен на сумму 447,12 тыс. рублей);</w:t>
      </w:r>
    </w:p>
    <w:p w14:paraId="4B141C1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извещений о проведении электронных аукционов в УГХ СГО на сумму 15 550,33 тыс. рублей (контракты заключены на сумму 13 459,73 тыс. рублей, экономия составила 2 090,59 тыс. рублей);</w:t>
      </w:r>
    </w:p>
    <w:p w14:paraId="5D862EC3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извещение о проведении открытого конкурса в электронной форме для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контракта УГХ СГО на сумму </w:t>
      </w:r>
      <w:r w:rsidRPr="00D515B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5B4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5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5 тыс. рублей. Контракт заключен на 8 лет на сумму </w:t>
      </w:r>
      <w:r w:rsidRPr="001021B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21B0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21B0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тыс. руб., в 2021 году предусмотрено – 4 501,20 тыс. рублей.</w:t>
      </w:r>
    </w:p>
    <w:p w14:paraId="7FBCE69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E67949" w14:textId="5CBC1A83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Заказчики, которые при осуществлении закупок использовали кон</w:t>
      </w:r>
      <w:r w:rsidRPr="002E0F9A">
        <w:rPr>
          <w:rFonts w:ascii="Times New Roman" w:hAnsi="Times New Roman" w:cs="Times New Roman"/>
          <w:sz w:val="28"/>
          <w:szCs w:val="28"/>
        </w:rPr>
        <w:t>курентные способы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приведены на рис</w:t>
      </w:r>
      <w:r w:rsidRPr="00E86E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B809C" w14:textId="77777777" w:rsidR="006A3F4A" w:rsidRPr="00B73BF7" w:rsidRDefault="006A3F4A" w:rsidP="006A3F4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61CA19" wp14:editId="0F92EA5D">
            <wp:extent cx="3138221" cy="325892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35BDFE" wp14:editId="32C66256">
            <wp:simplePos x="0" y="0"/>
            <wp:positionH relativeFrom="column">
              <wp:posOffset>2957830</wp:posOffset>
            </wp:positionH>
            <wp:positionV relativeFrom="paragraph">
              <wp:posOffset>-1270</wp:posOffset>
            </wp:positionV>
            <wp:extent cx="3138170" cy="3258820"/>
            <wp:effectExtent l="38100" t="0" r="2413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0A71F75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393944">
        <w:rPr>
          <w:rFonts w:ascii="Times New Roman" w:hAnsi="Times New Roman" w:cs="Times New Roman"/>
        </w:rPr>
        <w:t>Рис. 2 Количество и объем закупок, осуществленных заказчиками в 1 полугодии 2021г.</w:t>
      </w:r>
    </w:p>
    <w:p w14:paraId="512B37AC" w14:textId="77777777" w:rsidR="006A3F4A" w:rsidRPr="00393944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203A49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распределения закупок по заказчикам показал, что наибольшая доля закупок осуществлена УГХ СГО (200 898,87 тыс. рублей) и подведомственными учреждениями Управления образования (29 354,72 тыс. рублей).</w:t>
      </w:r>
    </w:p>
    <w:p w14:paraId="60CF00C9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E127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2021г. для субъектов малого предпринимательства размещено закупок на сумму 93 635,2 тыс. рублей, что составляет 36,9% от объема размещенных извещений о закупках.</w:t>
      </w:r>
    </w:p>
    <w:p w14:paraId="33F80C5E" w14:textId="35D0799D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НМЦК несостоявшихся способов определения поставщика (подрядчика, исполнителя) составляет 101 831,5 тыс. рублей (40,1%). Основной причиной признания закупок несостоявшимися является то, что на участие в закупке была подана только одна заявка.</w:t>
      </w:r>
    </w:p>
    <w:p w14:paraId="4DFF4C83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отмененных закупочных процедур составляет 20 868,8 тыс. рублей или 8,2 %.</w:t>
      </w:r>
    </w:p>
    <w:p w14:paraId="56272810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электронных закупках было подано 412 заявок участников, из них только 5 заявок не были допущены к участию.</w:t>
      </w:r>
    </w:p>
    <w:p w14:paraId="3738CBE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F3FBF9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закупок было подано 4 жалобы, две из которых были признаны частично обоснованными (УГХ СГО, МБОУ «Гимназия № 127»).</w:t>
      </w:r>
    </w:p>
    <w:p w14:paraId="63162DC3" w14:textId="5568AB56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вынесенным </w:t>
      </w:r>
      <w:r w:rsidRPr="00D20047">
        <w:rPr>
          <w:rFonts w:ascii="Times New Roman" w:hAnsi="Times New Roman" w:cs="Times New Roman"/>
          <w:sz w:val="28"/>
          <w:szCs w:val="28"/>
        </w:rPr>
        <w:t>решением Челябинским УФАС,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Pr="00D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УГХ СГО закупки выявлены нарушения п. 2 ч. 1 ст. 64, ч. 5, 6 ст. 66 Федерального закона № 44-ФЗ, в части установления </w:t>
      </w:r>
      <w:r w:rsidR="00D75F27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F4BD1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соответствие дополнительным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ч. 2 ст. 31 Федерального закона № 44-ФЗ</w:t>
      </w:r>
      <w:r w:rsidR="00D75F27">
        <w:rPr>
          <w:rFonts w:ascii="Times New Roman" w:hAnsi="Times New Roman" w:cs="Times New Roman"/>
          <w:sz w:val="28"/>
          <w:szCs w:val="28"/>
        </w:rPr>
        <w:t xml:space="preserve"> в составе второй части заявки.</w:t>
      </w:r>
    </w:p>
    <w:p w14:paraId="64E6756B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33731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процедур определения поставщиков (подрядчиков, исполнителей) заключено 133 контракта на сумму 199 086,4 тыс. рублей, в том числе 105 контрактов заключено с субъектами малого предпринимательства на сумму 89 888,3 тыс. рублей.</w:t>
      </w:r>
    </w:p>
    <w:p w14:paraId="68D25446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несостоявшихся процедур определения поставщика (подрядчика, исполнителя) заключено 48 контрактов на сумму 85 524,1 тыс. рублей.</w:t>
      </w:r>
    </w:p>
    <w:p w14:paraId="67F8006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 полугодия 2021г. общая сумма изменений, внесенных в контракты, составила 1 518,2 тыс. рублей. Расторгнуто 7 контрактов на сумму 10 512,1 тыс. рублей (с учетом части невыполненных обязательств).</w:t>
      </w:r>
    </w:p>
    <w:p w14:paraId="30357798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9D0D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Сумма экономии по результатам состоявшихся конкурентных закупок составила 21 112,9 тыс. рублей.</w:t>
      </w:r>
    </w:p>
    <w:p w14:paraId="5B0CD08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28ABCE0" wp14:editId="5F7CB21E">
            <wp:simplePos x="0" y="0"/>
            <wp:positionH relativeFrom="column">
              <wp:posOffset>-3283</wp:posOffset>
            </wp:positionH>
            <wp:positionV relativeFrom="paragraph">
              <wp:posOffset>52549</wp:posOffset>
            </wp:positionV>
            <wp:extent cx="6126900" cy="3200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A85C0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0417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CCE99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E7EFF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FE6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EF310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F7C63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3B80E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8E5F9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B691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B2C7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6736D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7096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037A4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6127" w14:textId="2FEBFED6" w:rsidR="006A3F4A" w:rsidRDefault="006A3F4A" w:rsidP="006A3F4A">
      <w:pPr>
        <w:tabs>
          <w:tab w:val="left" w:pos="1814"/>
          <w:tab w:val="left" w:pos="2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12CF16" w14:textId="079F0DF6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F687F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87A0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EE0043" w14:textId="2D6FCBCD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8CDA4B" w14:textId="0B9C1A35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CA1372" wp14:editId="308AAB2C">
            <wp:simplePos x="0" y="0"/>
            <wp:positionH relativeFrom="column">
              <wp:posOffset>3058160</wp:posOffset>
            </wp:positionH>
            <wp:positionV relativeFrom="paragraph">
              <wp:posOffset>-572878</wp:posOffset>
            </wp:positionV>
            <wp:extent cx="3107595" cy="3108325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CF79E3" wp14:editId="0064F4B7">
            <wp:simplePos x="0" y="0"/>
            <wp:positionH relativeFrom="margin">
              <wp:align>left</wp:align>
            </wp:positionH>
            <wp:positionV relativeFrom="paragraph">
              <wp:posOffset>-581744</wp:posOffset>
            </wp:positionV>
            <wp:extent cx="3053751" cy="3108325"/>
            <wp:effectExtent l="0" t="0" r="13335" b="1587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1B74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ED116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C245BD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FA0D8C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E67BF0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2D9C5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D3ED5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44980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9A06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DAA6E4" w14:textId="0A980FF1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A83F03" w14:textId="7F85FAE0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F66AB2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416A1F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1E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>2021г. по 4 контрактам поставщиками (подрядчиками, исполнителями) допущена просрочка исполнения обязательств, в результате сумма неустойки, уплаченная заказчику, составила 129,2 тыс. рублей.</w:t>
      </w:r>
    </w:p>
    <w:p w14:paraId="1290F35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32BE9" w14:textId="77777777" w:rsidR="006A3F4A" w:rsidRPr="007029C7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9C7">
        <w:rPr>
          <w:rFonts w:ascii="Times New Roman" w:hAnsi="Times New Roman" w:cs="Times New Roman"/>
          <w:b/>
          <w:bCs/>
          <w:sz w:val="28"/>
          <w:szCs w:val="28"/>
        </w:rPr>
        <w:t>1.2. Закупка у единственного поставщика (подрядчика, исполнителя).</w:t>
      </w:r>
    </w:p>
    <w:p w14:paraId="09488069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полугодия 2021 г. заказчиками осуществлено 3 418 закупок у единственного поставщика (исполнителя, подрядчика) на общую сумму 223 988,53 тыс. рублей. Сумма контрактов, расторгнутых по соглашению сторон, в части неисполненных обязательств составила 18 797,79 тыс. рублей.</w:t>
      </w:r>
    </w:p>
    <w:p w14:paraId="3D72EBCD" w14:textId="77777777" w:rsidR="006A3F4A" w:rsidRPr="0045491E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63149" wp14:editId="25ED921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CCDF07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94FB4A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792784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4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Осуществление аудита в сфере закупок</w:t>
      </w:r>
    </w:p>
    <w:p w14:paraId="62EDC06D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КСП в 1 полугодии 2021г. экспертно-аналитические и контрольные мероприятия, в рамках которых осуществлялся аудит в сфере закупок, не проводились. Мероприятия запланированы во 2 полугодии 2021г. </w:t>
      </w:r>
    </w:p>
    <w:p w14:paraId="55FC0EC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рамках проведенных контрольных и экспертно-аналитических мероприятий выявлено 103 нарушения законодательства в сфере закупок.</w:t>
      </w:r>
    </w:p>
    <w:p w14:paraId="41CEF74D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нарушениям, выявленным КСП, можно отнести нарушения при исполнении контрактов требований статьей 34, 95 Федерального закона № 44-ФЗ:</w:t>
      </w:r>
    </w:p>
    <w:p w14:paraId="3BF2221C" w14:textId="77777777" w:rsidR="006A3F4A" w:rsidRPr="00280EB3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0EB3">
        <w:rPr>
          <w:rFonts w:ascii="Times New Roman" w:hAnsi="Times New Roman" w:cs="Times New Roman"/>
          <w:sz w:val="28"/>
          <w:szCs w:val="28"/>
        </w:rPr>
        <w:t>риняты работы и материалы, которые ранее не были предусмотрены муниципальными контрактами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135D8B" w14:textId="77777777" w:rsidR="006A3F4A" w:rsidRPr="00280EB3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0EB3">
        <w:rPr>
          <w:rFonts w:ascii="Times New Roman" w:hAnsi="Times New Roman" w:cs="Times New Roman"/>
          <w:sz w:val="28"/>
          <w:szCs w:val="28"/>
        </w:rPr>
        <w:t>зменена стоимость (цена единицы) отдельных видов работ и материалов, принятых по результатам исполнения контрактов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F8816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0EB3">
        <w:rPr>
          <w:rFonts w:ascii="Times New Roman" w:hAnsi="Times New Roman" w:cs="Times New Roman"/>
          <w:sz w:val="28"/>
          <w:szCs w:val="28"/>
        </w:rPr>
        <w:t>чреждением приняты виды работ, объем которых увеличен более чем на 10 %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81E95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проведенного контрольного мероприятия направлены в прокуратуру ЗАТО г. Снежинск.</w:t>
      </w:r>
    </w:p>
    <w:p w14:paraId="66CB58B1" w14:textId="77777777" w:rsidR="006A3F4A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A2ABF" w14:textId="52D5953E" w:rsidR="006A3F4A" w:rsidRPr="00DC7D96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выявленных нарушений и недостатков является низкий уровень планирования предмета контракта, а также формальный подход к формированию технических и качественных характеристик объекта закупки.</w:t>
      </w:r>
    </w:p>
    <w:p w14:paraId="5E16BB73" w14:textId="77777777" w:rsidR="006A3F4A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2115B" w14:textId="77777777" w:rsidR="006A3F4A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Исходя из причины выявленных нарушений КСП рекомендует руководителям учреждений усилить контроль за осуществлением закупок и обеспечить соблюдение принципа профессионализма заказчика, установленного статьей 9 Федерального закона № 44-ФЗ, а именно: принять меры по поддержанию и повышению уровня квалификации и профессионального образования должностных лиц, занятых в сфере закупок.</w:t>
      </w:r>
    </w:p>
    <w:p w14:paraId="1B009D16" w14:textId="77777777" w:rsidR="006A3F4A" w:rsidRDefault="006A3F4A" w:rsidP="006A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20375" w14:textId="77777777" w:rsidR="006A3F4A" w:rsidRPr="00E86E9D" w:rsidRDefault="006A3F4A" w:rsidP="006A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8774D" w14:textId="77777777" w:rsidR="006A3F4A" w:rsidRDefault="006A3F4A" w:rsidP="006A3F4A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4C3204" w14:textId="77777777" w:rsidR="006A3F4A" w:rsidRPr="006A3F4A" w:rsidRDefault="006A3F4A" w:rsidP="006A3F4A">
      <w:pPr>
        <w:overflowPunct w:val="0"/>
        <w:autoSpaceDE w:val="0"/>
        <w:spacing w:after="0" w:line="240" w:lineRule="auto"/>
        <w:ind w:left="-11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1689D" w14:textId="7F49588B" w:rsidR="006A3F4A" w:rsidRDefault="006A3F4A" w:rsidP="006A3F4A">
      <w:pPr>
        <w:jc w:val="center"/>
      </w:pPr>
    </w:p>
    <w:p w14:paraId="3BD6C1D6" w14:textId="77777777" w:rsidR="006A3F4A" w:rsidRDefault="006A3F4A" w:rsidP="006A3F4A">
      <w:pPr>
        <w:jc w:val="center"/>
      </w:pPr>
    </w:p>
    <w:p w14:paraId="1F64470F" w14:textId="77777777" w:rsidR="006A3F4A" w:rsidRDefault="006A3F4A" w:rsidP="006A3F4A">
      <w:pPr>
        <w:jc w:val="center"/>
      </w:pPr>
    </w:p>
    <w:sectPr w:rsidR="006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4A"/>
    <w:rsid w:val="000F2C2D"/>
    <w:rsid w:val="006907C0"/>
    <w:rsid w:val="006A3F4A"/>
    <w:rsid w:val="00875792"/>
    <w:rsid w:val="008A017A"/>
    <w:rsid w:val="00D75F27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53F2"/>
  <w15:chartTrackingRefBased/>
  <w15:docId w15:val="{66310508-380C-4465-9B28-C2CA66B3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СГОЗ на 01.07.2021г</a:t>
            </a:r>
            <a:r>
              <a:rPr lang="ru-RU"/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accent1"/>
              </a:solidFill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91C-48D8-9D06-662186D246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91C-48D8-9D06-662186D246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91C-48D8-9D06-662186D246D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91C-48D8-9D06-662186D246D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91C-48D8-9D06-662186D246D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91C-48D8-9D06-662186D246D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91C-48D8-9D06-662186D246D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2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2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591C-48D8-9D06-662186D246D6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591C-48D8-9D06-662186D246D6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4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4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591C-48D8-9D06-662186D246D6}"/>
              </c:ext>
            </c:extLst>
          </c:dPt>
          <c:dPt>
            <c:idx val="1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2700" cap="flat" cmpd="sng" algn="ctr">
                <a:solidFill>
                  <a:schemeClr val="accent1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591C-48D8-9D06-662186D246D6}"/>
              </c:ext>
            </c:extLst>
          </c:dPt>
          <c:dLbls>
            <c:dLbl>
              <c:idx val="0"/>
              <c:layout>
                <c:manualLayout>
                  <c:x val="-0.13774908582760842"/>
                  <c:y val="-7.343167892574953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1C-48D8-9D06-662186D246D6}"/>
                </c:ext>
              </c:extLst>
            </c:dLbl>
            <c:dLbl>
              <c:idx val="1"/>
              <c:layout>
                <c:manualLayout>
                  <c:x val="3.3623302400696116E-2"/>
                  <c:y val="-1.298325577587030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1C-48D8-9D06-662186D246D6}"/>
                </c:ext>
              </c:extLst>
            </c:dLbl>
            <c:dLbl>
              <c:idx val="4"/>
              <c:layout>
                <c:manualLayout>
                  <c:x val="9.441990845724503E-2"/>
                  <c:y val="-0.1212186301668963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1C-48D8-9D06-662186D246D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КСП</c:v>
                </c:pt>
                <c:pt idx="1">
                  <c:v>Собрание депутатов</c:v>
                </c:pt>
                <c:pt idx="2">
                  <c:v>УКиМП</c:v>
                </c:pt>
                <c:pt idx="3">
                  <c:v>УФиС</c:v>
                </c:pt>
                <c:pt idx="4">
                  <c:v>Финансовое управление</c:v>
                </c:pt>
                <c:pt idx="5">
                  <c:v>УСЗН</c:v>
                </c:pt>
                <c:pt idx="6">
                  <c:v>ГОиЧС</c:v>
                </c:pt>
                <c:pt idx="7">
                  <c:v>Администрация</c:v>
                </c:pt>
                <c:pt idx="8">
                  <c:v>УГХ СГО</c:v>
                </c:pt>
                <c:pt idx="9">
                  <c:v>КУИ</c:v>
                </c:pt>
                <c:pt idx="10">
                  <c:v>Управление образования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365.48</c:v>
                </c:pt>
                <c:pt idx="1">
                  <c:v>1196.17</c:v>
                </c:pt>
                <c:pt idx="2">
                  <c:v>30264.13</c:v>
                </c:pt>
                <c:pt idx="3">
                  <c:v>49634.1</c:v>
                </c:pt>
                <c:pt idx="4">
                  <c:v>6436.61</c:v>
                </c:pt>
                <c:pt idx="5">
                  <c:v>5318.44</c:v>
                </c:pt>
                <c:pt idx="6">
                  <c:v>3448.92</c:v>
                </c:pt>
                <c:pt idx="7">
                  <c:v>13274.19</c:v>
                </c:pt>
                <c:pt idx="8">
                  <c:v>235834.34</c:v>
                </c:pt>
                <c:pt idx="9">
                  <c:v>9491.0499999999993</c:v>
                </c:pt>
                <c:pt idx="10">
                  <c:v>208367.54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91C-48D8-9D06-662186D246D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Кол-во закупок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закупок, шт.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846-466A-8322-81850EBA097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846-466A-8322-81850EBA097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846-466A-8322-81850EBA097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846-466A-8322-81850EBA097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846-466A-8322-81850EBA097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846-466A-8322-81850EBA097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846-466A-8322-81850EBA0977}"/>
              </c:ext>
            </c:extLst>
          </c:dPt>
          <c:dLbls>
            <c:dLbl>
              <c:idx val="0"/>
              <c:layout>
                <c:manualLayout>
                  <c:x val="-9.7126669364629784E-2"/>
                  <c:y val="-2.72798129384255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46-466A-8322-81850EBA0977}"/>
                </c:ext>
              </c:extLst>
            </c:dLbl>
            <c:dLbl>
              <c:idx val="1"/>
              <c:layout>
                <c:manualLayout>
                  <c:x val="8.0938891137190671E-3"/>
                  <c:y val="-3.897116134060797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46-466A-8322-81850EBA0977}"/>
                </c:ext>
              </c:extLst>
            </c:dLbl>
            <c:dLbl>
              <c:idx val="2"/>
              <c:layout>
                <c:manualLayout>
                  <c:x val="2.8328611898016998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46-466A-8322-81850EBA097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УКиМП</c:v>
                </c:pt>
                <c:pt idx="1">
                  <c:v>Финансовое управление </c:v>
                </c:pt>
                <c:pt idx="2">
                  <c:v>ГОиЧС</c:v>
                </c:pt>
                <c:pt idx="3">
                  <c:v>Администрация</c:v>
                </c:pt>
                <c:pt idx="4">
                  <c:v>УГХ СГО</c:v>
                </c:pt>
                <c:pt idx="5">
                  <c:v>КУИ</c:v>
                </c:pt>
                <c:pt idx="6">
                  <c:v>Управление образования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23</c:v>
                </c:pt>
                <c:pt idx="4">
                  <c:v>50</c:v>
                </c:pt>
                <c:pt idx="5">
                  <c:v>39</c:v>
                </c:pt>
                <c:pt idx="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846-466A-8322-81850EBA09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Объем закупок </a:t>
            </a:r>
          </a:p>
        </c:rich>
      </c:tx>
      <c:layout>
        <c:manualLayout>
          <c:xMode val="edge"/>
          <c:yMode val="edge"/>
          <c:x val="0.29590238897191673"/>
          <c:y val="0.639127045985970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закупок, шт.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4C4-4C0B-ADBF-509ED5429A6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4C4-4C0B-ADBF-509ED5429A6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4C4-4C0B-ADBF-509ED5429A6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4C4-4C0B-ADBF-509ED5429A6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4C4-4C0B-ADBF-509ED5429A6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4C4-4C0B-ADBF-509ED5429A6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4C4-4C0B-ADBF-509ED5429A63}"/>
              </c:ext>
            </c:extLst>
          </c:dPt>
          <c:dLbls>
            <c:dLbl>
              <c:idx val="0"/>
              <c:layout>
                <c:manualLayout>
                  <c:x val="-0.17456925533033588"/>
                  <c:y val="-9.64864582885830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C4-4C0B-ADBF-509ED5429A63}"/>
                </c:ext>
              </c:extLst>
            </c:dLbl>
            <c:dLbl>
              <c:idx val="1"/>
              <c:layout>
                <c:manualLayout>
                  <c:x val="-2.791611034456379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340768664540157"/>
                      <c:h val="0.182930631332813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4C4-4C0B-ADBF-509ED5429A63}"/>
                </c:ext>
              </c:extLst>
            </c:dLbl>
            <c:dLbl>
              <c:idx val="2"/>
              <c:layout>
                <c:manualLayout>
                  <c:x val="0.21620976556400689"/>
                  <c:y val="-7.617389116305901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C4-4C0B-ADBF-509ED5429A63}"/>
                </c:ext>
              </c:extLst>
            </c:dLbl>
            <c:dLbl>
              <c:idx val="3"/>
              <c:layout>
                <c:manualLayout>
                  <c:x val="0.17631868254428537"/>
                  <c:y val="2.77244524091542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C4-4C0B-ADBF-509ED5429A63}"/>
                </c:ext>
              </c:extLst>
            </c:dLbl>
            <c:dLbl>
              <c:idx val="5"/>
              <c:layout>
                <c:manualLayout>
                  <c:x val="-8.1102362204724401E-2"/>
                  <c:y val="2.66946317992402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C4-4C0B-ADBF-509ED5429A63}"/>
                </c:ext>
              </c:extLst>
            </c:dLbl>
            <c:dLbl>
              <c:idx val="6"/>
              <c:layout>
                <c:manualLayout>
                  <c:x val="-8.9581189036922831E-2"/>
                  <c:y val="3.17200704549497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80032630482098"/>
                      <c:h val="0.175136399064692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4C4-4C0B-ADBF-509ED5429A6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УКиМП</c:v>
                </c:pt>
                <c:pt idx="1">
                  <c:v>Финансовое управление </c:v>
                </c:pt>
                <c:pt idx="2">
                  <c:v>ГОиЧС</c:v>
                </c:pt>
                <c:pt idx="3">
                  <c:v>Администрация</c:v>
                </c:pt>
                <c:pt idx="4">
                  <c:v>УГХ СГО</c:v>
                </c:pt>
                <c:pt idx="5">
                  <c:v>КУИ</c:v>
                </c:pt>
                <c:pt idx="6">
                  <c:v>Управление образования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4080.6</c:v>
                </c:pt>
                <c:pt idx="1">
                  <c:v>4366.3999999999996</c:v>
                </c:pt>
                <c:pt idx="2">
                  <c:v>555</c:v>
                </c:pt>
                <c:pt idx="3">
                  <c:v>4419.2</c:v>
                </c:pt>
                <c:pt idx="4">
                  <c:v>200898.87</c:v>
                </c:pt>
                <c:pt idx="5">
                  <c:v>10333.92</c:v>
                </c:pt>
                <c:pt idx="6">
                  <c:v>26869.02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4C4-4C0B-ADBF-509ED5429A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Сумма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экономии, тыс. рублей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НМЦК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УКиМП</c:v>
                </c:pt>
                <c:pt idx="1">
                  <c:v>Финансовое управление</c:v>
                </c:pt>
                <c:pt idx="2">
                  <c:v>ГОиЧС</c:v>
                </c:pt>
                <c:pt idx="3">
                  <c:v>Администрация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4080.6</c:v>
                </c:pt>
                <c:pt idx="1">
                  <c:v>4366.3999999999996</c:v>
                </c:pt>
                <c:pt idx="2">
                  <c:v>555</c:v>
                </c:pt>
                <c:pt idx="3">
                  <c:v>4419.2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6-461D-AEE1-4CB68F2B0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УКиМП</c:v>
                </c:pt>
                <c:pt idx="1">
                  <c:v>Финансовое управление</c:v>
                </c:pt>
                <c:pt idx="2">
                  <c:v>ГОиЧС</c:v>
                </c:pt>
                <c:pt idx="3">
                  <c:v>Администрация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1498.2</c:v>
                </c:pt>
                <c:pt idx="1">
                  <c:v>1413.3</c:v>
                </c:pt>
                <c:pt idx="2">
                  <c:v>33</c:v>
                </c:pt>
                <c:pt idx="3">
                  <c:v>844.5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B6-461D-AEE1-4CB68F2B0D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НМЦК отмененных закупок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УКиМП</c:v>
                </c:pt>
                <c:pt idx="1">
                  <c:v>Финансовое управление</c:v>
                </c:pt>
                <c:pt idx="2">
                  <c:v>ГОиЧС</c:v>
                </c:pt>
                <c:pt idx="3">
                  <c:v>Администрация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B6-461D-AEE1-4CB68F2B0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954648"/>
        <c:axId val="359015888"/>
      </c:barChart>
      <c:catAx>
        <c:axId val="25995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9015888"/>
        <c:crosses val="autoZero"/>
        <c:auto val="1"/>
        <c:lblAlgn val="ctr"/>
        <c:lblOffset val="100"/>
        <c:noMultiLvlLbl val="0"/>
      </c:catAx>
      <c:valAx>
        <c:axId val="359015888"/>
        <c:scaling>
          <c:orientation val="minMax"/>
          <c:max val="4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9954648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Сумма экономии, тыс. рублей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НМЦК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КУИ</c:v>
                </c:pt>
                <c:pt idx="1">
                  <c:v>Управление образования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10333.92</c:v>
                </c:pt>
                <c:pt idx="1">
                  <c:v>29354.720000000001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8-4B36-963B-6FC0D183E5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КУИ</c:v>
                </c:pt>
                <c:pt idx="1">
                  <c:v>Управление образования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1347.44</c:v>
                </c:pt>
                <c:pt idx="1">
                  <c:v>2670.88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E8-4B36-963B-6FC0D183E5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НМЦК отмененных закупок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КУИ</c:v>
                </c:pt>
                <c:pt idx="1">
                  <c:v>Управление образования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2936.3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E8-4B36-963B-6FC0D183E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083352"/>
        <c:axId val="437083680"/>
      </c:barChart>
      <c:catAx>
        <c:axId val="43708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083680"/>
        <c:crosses val="autoZero"/>
        <c:auto val="1"/>
        <c:lblAlgn val="ctr"/>
        <c:lblOffset val="100"/>
        <c:noMultiLvlLbl val="0"/>
      </c:catAx>
      <c:valAx>
        <c:axId val="437083680"/>
        <c:scaling>
          <c:orientation val="minMax"/>
          <c:max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083352"/>
        <c:crosses val="autoZero"/>
        <c:crossBetween val="between"/>
        <c:majorUnit val="1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Сумма экономии, тыс. рублей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НМЦК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УГХ СГО 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200898.87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E-4EAC-BB79-4FDD7F88BC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УГХ СГО 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13305.61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AE-4EAC-BB79-4FDD7F88BC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НМЦК отмененных закупок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УГХ СГО 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17682.7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AE-4EAC-BB79-4FDD7F88B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083352"/>
        <c:axId val="437083680"/>
      </c:barChart>
      <c:catAx>
        <c:axId val="43708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083680"/>
        <c:crosses val="autoZero"/>
        <c:auto val="1"/>
        <c:lblAlgn val="ctr"/>
        <c:lblOffset val="100"/>
        <c:noMultiLvlLbl val="0"/>
      </c:catAx>
      <c:valAx>
        <c:axId val="437083680"/>
        <c:scaling>
          <c:orientation val="minMax"/>
          <c:max val="22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083352"/>
        <c:crosses val="autoZero"/>
        <c:crossBetween val="between"/>
        <c:majorUnit val="15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Закупки у ед. поставщика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 у ед. поставщика, тыс. руб.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4F-4157-AADD-8F88A58E420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4F-4157-AADD-8F88A58E4202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94F-4157-AADD-8F88A58E4202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94F-4157-AADD-8F88A58E420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Малые закупки (п. 4, 5 ч.1 ст. 93)</c:v>
                </c:pt>
                <c:pt idx="1">
                  <c:v>Прочие закупки у ед. поставщика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104455.03999999999</c:v>
                </c:pt>
                <c:pt idx="1">
                  <c:v>119533.47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4F-4157-AADD-8F88A58E420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cp:lastPrinted>2021-08-24T08:06:00Z</cp:lastPrinted>
  <dcterms:created xsi:type="dcterms:W3CDTF">2021-08-24T06:24:00Z</dcterms:created>
  <dcterms:modified xsi:type="dcterms:W3CDTF">2021-08-24T08:50:00Z</dcterms:modified>
</cp:coreProperties>
</file>