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39" w:rsidRDefault="00FE3D3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3D39" w:rsidRDefault="00FE3D39">
      <w:pPr>
        <w:pStyle w:val="ConsPlusNormal"/>
        <w:jc w:val="both"/>
        <w:outlineLvl w:val="0"/>
      </w:pPr>
    </w:p>
    <w:p w:rsidR="00FE3D39" w:rsidRDefault="00FE3D39">
      <w:pPr>
        <w:pStyle w:val="ConsPlusNormal"/>
        <w:jc w:val="right"/>
      </w:pPr>
      <w:r>
        <w:t>Официальный перевод на русский язык</w:t>
      </w:r>
    </w:p>
    <w:p w:rsidR="00FE3D39" w:rsidRDefault="00FE3D39">
      <w:pPr>
        <w:pStyle w:val="ConsPlusNormal"/>
      </w:pPr>
    </w:p>
    <w:p w:rsidR="00FE3D39" w:rsidRDefault="00FE3D39">
      <w:pPr>
        <w:pStyle w:val="ConsPlusTitle"/>
        <w:jc w:val="center"/>
      </w:pPr>
      <w:r>
        <w:t>КОНВЕНЦИЯ</w:t>
      </w:r>
    </w:p>
    <w:p w:rsidR="00FE3D39" w:rsidRDefault="00FE3D39">
      <w:pPr>
        <w:pStyle w:val="ConsPlusTitle"/>
        <w:jc w:val="center"/>
      </w:pPr>
      <w:r>
        <w:t>от 22 июня 1981 года</w:t>
      </w:r>
    </w:p>
    <w:p w:rsidR="00FE3D39" w:rsidRDefault="00FE3D39">
      <w:pPr>
        <w:pStyle w:val="ConsPlusTitle"/>
        <w:jc w:val="center"/>
      </w:pPr>
    </w:p>
    <w:p w:rsidR="00FE3D39" w:rsidRDefault="00FE3D39">
      <w:pPr>
        <w:pStyle w:val="ConsPlusTitle"/>
        <w:jc w:val="center"/>
      </w:pPr>
      <w:r>
        <w:t>О БЕЗОПАСНОСТИ И ГИГИЕНЕ ТРУДА И ПРОИЗВОДСТВЕННОЙ СРЕДЕ &lt;*&gt;</w:t>
      </w:r>
    </w:p>
    <w:p w:rsidR="00FE3D39" w:rsidRDefault="00FE3D39">
      <w:pPr>
        <w:pStyle w:val="ConsPlusTitle"/>
        <w:jc w:val="center"/>
      </w:pPr>
    </w:p>
    <w:p w:rsidR="00FE3D39" w:rsidRDefault="00FE3D39">
      <w:pPr>
        <w:pStyle w:val="ConsPlusTitle"/>
        <w:jc w:val="center"/>
      </w:pPr>
      <w:r>
        <w:t>Конвенция N 155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--------------------------------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&lt;*&gt; Дата вступления в силу: 11 августа 1983 года.</w:t>
      </w:r>
    </w:p>
    <w:p w:rsidR="00FE3D39" w:rsidRDefault="00FE3D39">
      <w:pPr>
        <w:pStyle w:val="ConsPlusNormal"/>
        <w:ind w:firstLine="540"/>
        <w:jc w:val="both"/>
      </w:pPr>
    </w:p>
    <w:p w:rsidR="00FE3D39" w:rsidRDefault="00FE3D39">
      <w:pPr>
        <w:pStyle w:val="ConsPlusNormal"/>
        <w:ind w:firstLine="540"/>
        <w:jc w:val="both"/>
      </w:pPr>
      <w:r>
        <w:t>Генеральная конференция Международной организации труда,</w:t>
      </w:r>
    </w:p>
    <w:p w:rsidR="00FE3D39" w:rsidRDefault="00FE3D39">
      <w:pPr>
        <w:pStyle w:val="ConsPlusNormal"/>
        <w:spacing w:before="200"/>
        <w:ind w:firstLine="540"/>
        <w:jc w:val="both"/>
      </w:pPr>
      <w:proofErr w:type="gramStart"/>
      <w:r>
        <w:t>созванная</w:t>
      </w:r>
      <w:proofErr w:type="gramEnd"/>
      <w:r>
        <w:t xml:space="preserve"> в Женеве Административным советом Международного бюро труда и собравшаяся 3 июня 1981 года на 67-ю сессию,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постановив принять ряд предложений по безопасности и гигиене труда и производственной среде, что является пунктом шесть повестки дня сессии,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решив придать этим предложениям форму международной конвенции,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принимает 22 июня 1981 года нижеследующую Конвенцию, которая будет называться Конвенцией 1981 года о безопасности и гигиене труда: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0"/>
      </w:pPr>
      <w:r>
        <w:t>Раздел I. СФЕРА ПРИМЕНЕНИЯ И ОПРЕДЕЛЕНИЯ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1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1. Настоящая Конвенция распространяется на все отрасли экономической деятельности.</w:t>
      </w:r>
    </w:p>
    <w:p w:rsidR="00FE3D39" w:rsidRDefault="00FE3D39">
      <w:pPr>
        <w:pStyle w:val="ConsPlusNormal"/>
        <w:spacing w:before="200"/>
        <w:ind w:firstLine="540"/>
        <w:jc w:val="both"/>
      </w:pPr>
      <w:bookmarkStart w:id="0" w:name="P24"/>
      <w:bookmarkEnd w:id="0"/>
      <w:r>
        <w:t>2. Член Организации, ратифицирующий настоящую Конвенцию, по консультации по возможности на более раннем этапе с заинтересованными представительными организациями предпринимателей и трудящихся может исключать, частично или полностью, из сферы ее применения отдельные отрасли экономической деятельности, такие, как морское судоходство или рыболовство, в отношении которых возникают особые проблемы.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Каждый член Организации, ратифицирующий настоящую Конвенцию, в своем первом докладе о ее применении, представляемом в соответствии со </w:t>
      </w:r>
      <w:hyperlink r:id="rId6">
        <w:r>
          <w:rPr>
            <w:color w:val="0000FF"/>
          </w:rPr>
          <w:t>статьей 22</w:t>
        </w:r>
      </w:hyperlink>
      <w:r>
        <w:t xml:space="preserve"> Устава Международной организации труда, перечисляет отдельные категории трудящихся, которые могут быть исключены в соответствии с </w:t>
      </w:r>
      <w:hyperlink w:anchor="P24">
        <w:r>
          <w:rPr>
            <w:color w:val="0000FF"/>
          </w:rPr>
          <w:t>пунктом 2</w:t>
        </w:r>
      </w:hyperlink>
      <w:r>
        <w:t xml:space="preserve"> настоящей статьи, излагая причины такого исключения и указывая меры, принятые по обеспечению достаточной защиты трудящихся в исключенных отраслях, и в последующих докладах сообщает о</w:t>
      </w:r>
      <w:proofErr w:type="gramEnd"/>
      <w:r>
        <w:t xml:space="preserve"> </w:t>
      </w:r>
      <w:proofErr w:type="gramStart"/>
      <w:r>
        <w:t>любом</w:t>
      </w:r>
      <w:proofErr w:type="gramEnd"/>
      <w:r>
        <w:t xml:space="preserve"> расширении сферы применения.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2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1. Настоящая Конвенция распространяется на всех трудящихся, работающих в отраслях экономической деятельности, к которым применяются ее положения.</w:t>
      </w:r>
    </w:p>
    <w:p w:rsidR="00FE3D39" w:rsidRDefault="00FE3D39">
      <w:pPr>
        <w:pStyle w:val="ConsPlusNormal"/>
        <w:spacing w:before="200"/>
        <w:ind w:firstLine="540"/>
        <w:jc w:val="both"/>
      </w:pPr>
      <w:bookmarkStart w:id="1" w:name="P30"/>
      <w:bookmarkEnd w:id="1"/>
      <w:r>
        <w:t>2. Член Организации, ратифицирующий настоящую Конвенцию, по консультации по возможности на более раннем этапе с заинтересованными представительными организациями предпринимателей и трудящихся может исключать, частично или полностью, из сферы ее применения отдельные категории трудящихся, в отношении которых возникают особые трудности.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Каждый член Организации, ратифицирующий настоящую Конвенцию, в своем первом докладе о ее применении, представляемом в соответствии со </w:t>
      </w:r>
      <w:hyperlink r:id="rId7">
        <w:r>
          <w:rPr>
            <w:color w:val="0000FF"/>
          </w:rPr>
          <w:t>статьей 22</w:t>
        </w:r>
      </w:hyperlink>
      <w:r>
        <w:t xml:space="preserve"> Устава Международной организации труда, перечисляет отдельные категории трудящихся, которые могут быть исключены в соответствии с </w:t>
      </w:r>
      <w:hyperlink w:anchor="P30">
        <w:r>
          <w:rPr>
            <w:color w:val="0000FF"/>
          </w:rPr>
          <w:t>пунктом 2</w:t>
        </w:r>
      </w:hyperlink>
      <w:r>
        <w:t xml:space="preserve"> настоящей статьи, излагая причины такого исключения, и в своих последующих докладах сообщает о любом расширении сферы применения.</w:t>
      </w:r>
      <w:proofErr w:type="gramEnd"/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lastRenderedPageBreak/>
        <w:t>Статья 3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Для целей настоящей Конвенции: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a) термин "отрасли экономической деятельности" включает все отрасли, где трудящиеся работают по найму, в том числе государственную службу;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 xml:space="preserve">b) термин "трудящиеся" распространяется на всех работающих по найму, в том числе </w:t>
      </w:r>
      <w:proofErr w:type="gramStart"/>
      <w:r>
        <w:t>на</w:t>
      </w:r>
      <w:proofErr w:type="gramEnd"/>
      <w:r>
        <w:t xml:space="preserve"> работающих в государственном секторе;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c) термин "рабочее место" означает все места, где трудящимся необходимо находиться или куда им необходимо следовать в связи с их работой, и которые прямо или косвенно находятся под контролем предпринимателя;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d) термин "правила" включает все положения, которым компетентный орган или органы придали силу закона;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e) термин "здоровье" в отношении труда означает не только отсутствие болезни или недуга; он включает также влияющие на здоровье физические и психические элементы, которые имеют непосредственное отношение к безопасности и гигиене труда.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0"/>
      </w:pPr>
      <w:bookmarkStart w:id="2" w:name="P42"/>
      <w:bookmarkEnd w:id="2"/>
      <w:r>
        <w:t>Раздел II. ПРИНЦИПЫ НАЦИОНАЛЬНОЙ ПОЛИТИКИ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bookmarkStart w:id="3" w:name="P44"/>
      <w:bookmarkEnd w:id="3"/>
      <w:r>
        <w:t>Статья 4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1. Каждый член Организации в соответствии с национальными условиями и практикой и по консультации с наиболее представительными организациями предпринимателей и трудящихся разрабатывает, осуществляет и периодически пересматривает согласованную национальную политику в области безопасности труда, гигиены труда и производственной среды.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2. Цель такой политики - предупредить несчастные случаи и повреждение здоровья, возникающие в результате работы, в ходе ее или связанные с ней, сводя к минимуму, насколько это обоснованно и практически осуществимо, причины опасностей, свойственных производственной среде.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5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 xml:space="preserve">При проведении политики, предусмотренной в </w:t>
      </w:r>
      <w:hyperlink w:anchor="P44">
        <w:r>
          <w:rPr>
            <w:color w:val="0000FF"/>
          </w:rPr>
          <w:t>статье 4</w:t>
        </w:r>
      </w:hyperlink>
      <w:r>
        <w:t xml:space="preserve"> настоящей Конвенции, принимаются во внимание, в той степени, в какой они оказывают влияние на безопасность и гигиену </w:t>
      </w:r>
      <w:proofErr w:type="gramStart"/>
      <w:r>
        <w:t>труда</w:t>
      </w:r>
      <w:proofErr w:type="gramEnd"/>
      <w:r>
        <w:t xml:space="preserve"> и производственную среду, следующие основные сферы деятельности:</w:t>
      </w:r>
    </w:p>
    <w:p w:rsidR="00FE3D39" w:rsidRDefault="00FE3D39">
      <w:pPr>
        <w:pStyle w:val="ConsPlusNormal"/>
        <w:spacing w:before="200"/>
        <w:ind w:firstLine="540"/>
        <w:jc w:val="both"/>
      </w:pPr>
      <w:proofErr w:type="gramStart"/>
      <w:r>
        <w:t>a) разработка, испытание, выбор, замена, монтаж, размещение, использование и обслуживание материальных элементов труда (рабочих мест, производственной среды, инструментов, механизмов и оборудования, химических, физических и биологических веществ и агентов, трудовых процессов);</w:t>
      </w:r>
      <w:proofErr w:type="gramEnd"/>
    </w:p>
    <w:p w:rsidR="00FE3D39" w:rsidRDefault="00FE3D39">
      <w:pPr>
        <w:pStyle w:val="ConsPlusNormal"/>
        <w:spacing w:before="200"/>
        <w:ind w:firstLine="540"/>
        <w:jc w:val="both"/>
      </w:pPr>
      <w:r>
        <w:t>b) связь между материальными элементами труда и лицами, которые выполняют работу или контролируют ее, а также приспособление механизмов, оборудования, рабочего времени, организации труда и трудовых процессов к физическим и психическим свойствам трудящихся;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c) профессиональная подготовка, в том числе необходимая последующая подготовка, квалификация и стимулирование лиц, занятых в том или ином качестве обеспечением соответствующего уровня безопасности и гигиены труда;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d) связь и сотрудничество на уровне рабочей группы и предприятия и на любом другом соответствующем уровне до национального уровня включительно;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 xml:space="preserve">e) защита трудящихся и их представителей от дисциплинарных мер в результате предпринятых ими надлежащим образом действий в соответствии с политикой, указанной в </w:t>
      </w:r>
      <w:hyperlink w:anchor="P44">
        <w:r>
          <w:rPr>
            <w:color w:val="0000FF"/>
          </w:rPr>
          <w:t>статье 4</w:t>
        </w:r>
      </w:hyperlink>
      <w:r>
        <w:t xml:space="preserve"> настоящей Конвенции.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6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 xml:space="preserve">При разработке политики, предусмотренной в </w:t>
      </w:r>
      <w:hyperlink w:anchor="P44">
        <w:r>
          <w:rPr>
            <w:color w:val="0000FF"/>
          </w:rPr>
          <w:t>статье 4</w:t>
        </w:r>
      </w:hyperlink>
      <w:r>
        <w:t xml:space="preserve"> настоящей Конвенции, указываются соответствующие функции и обязанности государственных органов, предпринимателей, трудящихся и других лиц в области безопасности и гигиены труда, при этом учитываются как вспомогательный характер таких обязанностей, так и национальные условия и практика.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7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В соответствующие сроки пересматривается положение в области безопасности и гигиены труда и производственной среды - полностью или только отдельные аспекты - с целью определения основных проблем, выявления эффективных методов их решения и очередности принятия мер, а также оценки результатов.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0"/>
      </w:pPr>
      <w:bookmarkStart w:id="4" w:name="P66"/>
      <w:bookmarkEnd w:id="4"/>
      <w:r>
        <w:t>Раздел III. МЕРОПРИЯТИЯ НА НАЦИОНАЛЬНОМ УРОВНЕ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8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 xml:space="preserve">Каждый член Организации путем законодательства либо правил или любым другим способом, соответствующим национальным условиям и практике, и по консультации с заинтересованными представительными организациями предпринимателей и трудящихся принимает меры, необходимые для осуществления положений </w:t>
      </w:r>
      <w:hyperlink w:anchor="P44">
        <w:r>
          <w:rPr>
            <w:color w:val="0000FF"/>
          </w:rPr>
          <w:t>статьи 4</w:t>
        </w:r>
      </w:hyperlink>
      <w:r>
        <w:t xml:space="preserve"> настоящей Конвенции.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9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1. Проведение в жизнь законодательства и правил по безопасности и гигиене труда и производственной среде обеспечивается надлежащей и соответствующей системой инспекции.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2. Система контроля проведения в жизнь предусматривает принятие надлежащих санкций в случае нарушения законодательства и правил.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10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Принимаются меры по консультированию предпринимателей и трудящихся для оказания им помощи в выполнении юридических обязательств.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11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 xml:space="preserve">Для проведения в жизнь политики, предусмотренной в </w:t>
      </w:r>
      <w:hyperlink w:anchor="P44">
        <w:r>
          <w:rPr>
            <w:color w:val="0000FF"/>
          </w:rPr>
          <w:t>статье 4</w:t>
        </w:r>
      </w:hyperlink>
      <w:r>
        <w:t xml:space="preserve"> настоящей Конвенции, компетентный орган или органы обеспечивают постепенное выполнение следующих функций: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a) определение, если характер и степень опасностей требуют этого, условий, регулирующих проектирование, строительство и планировку предприятий, ввод их в эксплуатацию, значительное их переоборудование и изменение назначения, а также безопасность используемого в ходе работы технического оборудования, и применение процедур, установленных компетентными органами;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b) определение производственных процессов, веществ и агентов, контакт с которыми необходимо запретить, ограничить или поставить в зависимость от разрешения или контроля компетентного органа или органов; принимаются во внимание опасности для здоровья, возникающие в результате одновременного контакта с несколькими веществами или агентами;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c) установление и применение процедур объявления предпринимателями и, когда это необходимо, страховыми учреждениями и другими непосредственно заинтересованными органами или лицами о несчастных случаях на производстве и о профессиональных заболеваниях, а также представление ежегодных статистических данных о несчастных случаях на производстве и о профессиональных заболеваниях;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d) проведение расследований, когда несчастные случаи на производстве, профессиональные заболевания или любое повреждение здоровья, возникающие в ходе работы или в связи с ней, свидетельствуют о серьезном положении;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 xml:space="preserve">e) ежегодная публикация информации о принятых мерах в соответствии с политикой, указанной в </w:t>
      </w:r>
      <w:hyperlink w:anchor="P44">
        <w:r>
          <w:rPr>
            <w:color w:val="0000FF"/>
          </w:rPr>
          <w:t>статье 4</w:t>
        </w:r>
      </w:hyperlink>
      <w:r>
        <w:t xml:space="preserve"> настоящей Конвенции, о несчастных случаях на производстве, профессиональных заболеваниях и </w:t>
      </w:r>
      <w:proofErr w:type="gramStart"/>
      <w:r>
        <w:t>о</w:t>
      </w:r>
      <w:proofErr w:type="gramEnd"/>
      <w:r>
        <w:t xml:space="preserve"> всех других повреждениях здоровья, возникающих в ходе работы или в связи с ней;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f) применение и расширение, с учетом национальных условий и возможностей, систем изучения химических, физических или биологических агентов с точки зрения опасности для здоровья трудящихся.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12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В соответствии с национальным законодательством и практикой принимаются меры в целях обеспечения того, чтобы лица, которые занимаются разработкой, изготовлением, ввозом, поставкой или передачей механизмов, оборудования или веще</w:t>
      </w:r>
      <w:proofErr w:type="gramStart"/>
      <w:r>
        <w:t>ств дл</w:t>
      </w:r>
      <w:proofErr w:type="gramEnd"/>
      <w:r>
        <w:t>я профессионального использования:</w:t>
      </w:r>
    </w:p>
    <w:p w:rsidR="00FE3D39" w:rsidRDefault="00FE3D39">
      <w:pPr>
        <w:pStyle w:val="ConsPlusNormal"/>
        <w:spacing w:before="200"/>
        <w:ind w:firstLine="540"/>
        <w:jc w:val="both"/>
      </w:pPr>
      <w:bookmarkStart w:id="5" w:name="P94"/>
      <w:bookmarkEnd w:id="5"/>
      <w:r>
        <w:t>a) убеждались в той мере, насколько это обоснованно и практически осуществимо, что механизмы, оборудование или вещества не представляют угрозы безопасности и здоровью лиц, правильно пользующихся ими;</w:t>
      </w:r>
    </w:p>
    <w:p w:rsidR="00FE3D39" w:rsidRDefault="00FE3D39">
      <w:pPr>
        <w:pStyle w:val="ConsPlusNormal"/>
        <w:spacing w:before="200"/>
        <w:ind w:firstLine="540"/>
        <w:jc w:val="both"/>
      </w:pPr>
      <w:bookmarkStart w:id="6" w:name="P95"/>
      <w:bookmarkEnd w:id="6"/>
      <w:r>
        <w:t>b) представляли информацию о правильном монтаже и использовании механизмов и оборудования, а также о правильном применении веществ, и об опасностях, связанных с использованием механизмов и оборудования, и о вредных свойствах химических веществ, физических или биологических агентов или продуктов, а также инструктировали о том, как следует избегать известных опасностей;</w:t>
      </w:r>
    </w:p>
    <w:p w:rsidR="00FE3D39" w:rsidRDefault="00FE3D39">
      <w:pPr>
        <w:pStyle w:val="ConsPlusNormal"/>
        <w:spacing w:before="200"/>
        <w:ind w:firstLine="540"/>
        <w:jc w:val="both"/>
      </w:pPr>
      <w:proofErr w:type="gramStart"/>
      <w:r>
        <w:t xml:space="preserve">c) проводили изучение и исследования или любым другим способом следили за развитием научно-технических знаний, необходимых для выполнения положений </w:t>
      </w:r>
      <w:hyperlink w:anchor="P94">
        <w:r>
          <w:rPr>
            <w:color w:val="0000FF"/>
          </w:rPr>
          <w:t>пунктов a</w:t>
        </w:r>
      </w:hyperlink>
      <w:r>
        <w:t xml:space="preserve">) и </w:t>
      </w:r>
      <w:hyperlink w:anchor="P95">
        <w:r>
          <w:rPr>
            <w:color w:val="0000FF"/>
          </w:rPr>
          <w:t>b</w:t>
        </w:r>
      </w:hyperlink>
      <w:r>
        <w:t>) настоящей статьи.</w:t>
      </w:r>
      <w:proofErr w:type="gramEnd"/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13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Трудящемуся, оставившему работу, который имел достаточные основания полагать, что она представляет непосредственную и серьезную опасность для его жизни или здоровья, обеспечивается в соответствии с национальными условиями и практикой защита от необоснованных последствий.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14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В соответствии с национальными условиями и практикой принимаются меры для содействия включению вопросов безопасности и гигиены труда и производственной среды в программы образования и профессиональной подготовки на всех уровнях, в том числе в программы высшего технического, медицинского и профессионального образования, для удовлетворения потребностей всех трудящихся в области профессиональной подготовки.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15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обеспечения согласованности политики, указанной в </w:t>
      </w:r>
      <w:hyperlink w:anchor="P44">
        <w:r>
          <w:rPr>
            <w:color w:val="0000FF"/>
          </w:rPr>
          <w:t>статье 4</w:t>
        </w:r>
      </w:hyperlink>
      <w:r>
        <w:t xml:space="preserve">, и мер по ее проведению каждый член Организации по консультации как можно ранее с наиболее представительными организациями предпринимателей и трудящихся, а также при необходимости с другими органами принимает соответствующие национальным условиям и практике меры по обеспечению необходимой координации между различными органами и организациями, уполномоченными осуществлять положения </w:t>
      </w:r>
      <w:hyperlink w:anchor="P42">
        <w:r>
          <w:rPr>
            <w:color w:val="0000FF"/>
          </w:rPr>
          <w:t>разделов II</w:t>
        </w:r>
      </w:hyperlink>
      <w:r>
        <w:t xml:space="preserve"> и </w:t>
      </w:r>
      <w:hyperlink w:anchor="P66">
        <w:r>
          <w:rPr>
            <w:color w:val="0000FF"/>
          </w:rPr>
          <w:t>III</w:t>
        </w:r>
      </w:hyperlink>
      <w:r>
        <w:t xml:space="preserve"> настоящей</w:t>
      </w:r>
      <w:proofErr w:type="gramEnd"/>
      <w:r>
        <w:t xml:space="preserve"> Конвенции.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2. Эти меры включают создание центрального органа, если этого требуют обстоятельства и позволяют национальные условия и практика.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0"/>
      </w:pPr>
      <w:r>
        <w:t>Раздел IV. МЕРОПРИЯТИЯ НА УРОВНЕ ПРЕДПРИЯТИЯ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bookmarkStart w:id="7" w:name="P113"/>
      <w:bookmarkEnd w:id="7"/>
      <w:r>
        <w:t>Статья 16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1. Предприниматели должны обеспечивать, насколько это обоснованно и практически осуществимо, чтобы находящиеся под их контролем рабочие места, механизмы, оборудование и процессы были безопасными и не угрожали здоровью.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2. Предприниматели должны обеспечивать, насколько это обоснованно и практически осуществимо, чтобы находящиеся под их контролем химические, биологические и физические вещества и агенты были безопасными для здоровья, когда принимаются соответствующие защитные меры.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3. Предприниматели должны, в случае необходимости, предоставлять соответствующие защитные одежду и средства, чтобы предотвратить, насколько это обоснованно и практически осуществимо, возникновение несчастных случаев или вредных последствий для здоровья.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17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В случаях, когда два или более предприятия одновременно осуществляют деятельность на одном месте работы, они сотрудничают в деле применения положений настоящей Конвенции.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18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Предприниматели должны, когда это необходимо, принимать меры при возникновении аварийных ситуаций и несчастных случаев на производстве, в том числе надлежащие меры по оказанию первой помощи.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bookmarkStart w:id="8" w:name="P127"/>
      <w:bookmarkEnd w:id="8"/>
      <w:r>
        <w:t>Статья 19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На уровне предприятия принимаются меры, в соответствии с которыми: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a) трудящиеся в ходе выполнения работы сотрудничают с предпринимателем в деле выполнения последним возложенных на него обязанностей;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b) представители трудящихся на предприятии сотрудничают с предпринимателем в области безопасности и гигиены труда;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c) представители трудящихся на предприятии получают надлежащую информацию о мерах по обеспечению их безопасности и охраны здоровья, принятых предпринимателем, и могут консультироваться со своими представительными организациями по такой информации при условии неразглашения коммерческой тайны;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d) трудящиеся и их представители на предприятии получают надлежащую подготовку в области безопасности и гигиены труда;</w:t>
      </w:r>
    </w:p>
    <w:p w:rsidR="00FE3D39" w:rsidRDefault="00FE3D39">
      <w:pPr>
        <w:pStyle w:val="ConsPlusNormal"/>
        <w:spacing w:before="200"/>
        <w:ind w:firstLine="540"/>
        <w:jc w:val="both"/>
      </w:pPr>
      <w:proofErr w:type="gramStart"/>
      <w:r>
        <w:t>e) трудящиеся или их представители или их представительные организации на предприятии наделяются в соответствии с национальным законодательством и практикой полномочиями рассматривать все аспекты безопасности и гигиены труда, связанные с их работой, и предприниматели консультируют их по этим аспектам; для этой цели по обоюдному согласию на предприятие могут быть приглашены внештатные технические советники;</w:t>
      </w:r>
      <w:proofErr w:type="gramEnd"/>
    </w:p>
    <w:p w:rsidR="00FE3D39" w:rsidRDefault="00FE3D39">
      <w:pPr>
        <w:pStyle w:val="ConsPlusNormal"/>
        <w:spacing w:before="200"/>
        <w:ind w:firstLine="540"/>
        <w:jc w:val="both"/>
      </w:pPr>
      <w:r>
        <w:t>f) трудящийся немедленно извещает своего непосредственного начальника о любой ситуации, о которой у него есть достаточное основание полагать, что она создает непосредственную и серьезную угрозу его жизни или здоровью; до тех пор, пока предприниматель, в случае необходимости, не принял мер по ее устранению, он не может требовать, чтобы трудящиеся возобновили работу, где по-прежнему сохраняется непосредственная и серьезная опасность для жизни или здоровья.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20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 xml:space="preserve">Сотрудничество предпринимателей и трудящихся и/или их представителей на предприятии является основным элементом организационных и других мер, принимаемых во исполнение положений </w:t>
      </w:r>
      <w:hyperlink w:anchor="P113">
        <w:r>
          <w:rPr>
            <w:color w:val="0000FF"/>
          </w:rPr>
          <w:t>статей 16</w:t>
        </w:r>
      </w:hyperlink>
      <w:r>
        <w:t xml:space="preserve"> - </w:t>
      </w:r>
      <w:hyperlink w:anchor="P127">
        <w:r>
          <w:rPr>
            <w:color w:val="0000FF"/>
          </w:rPr>
          <w:t>19</w:t>
        </w:r>
      </w:hyperlink>
      <w:r>
        <w:t xml:space="preserve"> настоящей Конвенции.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21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Трудящиеся не несут никаких расходов в связи с мерами по технике безопасности и гигиене труда.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0"/>
      </w:pPr>
      <w:r>
        <w:t>Раздел V. ЗАКЛЮЧИТЕЛЬНЫЕ ПОЛОЖЕНИЯ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22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Настоящая Конвенция не пересматривает какие-либо существующие международные конвенции или рекомендации по труду.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23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Официальные грамоты о ратификации настоящей Конвенции направляются Генеральному директору Международного бюро труда для регистрации.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24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1. Настоящая Конвенция имеет обязательную силу только для тех членов Международной организации труда, ратификационные грамоты которых зарегистрированы Генеральным директором.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2. Она вступит в силу через двенадцать месяцев после даты регистрации Генеральным директором ратификационных грамот двух членов Организации.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3. Впоследствии настоящая Конвенция вступит в силу для каждого члена Организации через двенадцать месяцев после даты регистрации его ратификационной грамоты.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bookmarkStart w:id="9" w:name="P161"/>
      <w:bookmarkEnd w:id="9"/>
      <w:r>
        <w:t>Статья 25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bookmarkStart w:id="10" w:name="P163"/>
      <w:bookmarkEnd w:id="10"/>
      <w:r>
        <w:t>1. Каждый член Организации, ратифицировавший настоящую Конвенцию, по истечении десяти лет со дня ее первоначального вступления в силу может денонсировать ее заявлением о денонсации, направленным Генеральному директору Международного бюро труда и зарегистрированным им. Денонсация вступает в силу через год после даты регистрации заявления о денонсации.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Для каждого члена Организации, который ратифицировал настоящую Конвенцию и в годичный срок по истечении указанных в </w:t>
      </w:r>
      <w:hyperlink w:anchor="P163">
        <w:r>
          <w:rPr>
            <w:color w:val="0000FF"/>
          </w:rPr>
          <w:t>предыдущем пункте</w:t>
        </w:r>
      </w:hyperlink>
      <w:r>
        <w:t xml:space="preserve"> десяти лет не воспользовался предусмотренным в настоящей статье правом на денонсацию, Конвенция будет оставаться в силе на следующие десять лет, и впоследствии он сможет денонсировать ее по истечении каждого десятилетия в порядке, предусмотренном в настоящей статье.</w:t>
      </w:r>
      <w:proofErr w:type="gramEnd"/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26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1. Генеральный директор Международного бюро труда извещает всех членов Международной организации труда о регистрации всех ратификационных грамот и заявлений о денонсации, направленных ему членами Организации.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2. Извещая членов Организации о регистрации полученной им второй ратификационной грамоты, Генеральный директор обращает их внимание на дату вступления в силу настоящей Конвенции.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27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 xml:space="preserve">Генеральный директор Международного бюро труда направляет Генеральному секретарю Организации Объединенных Наций для регистрации в соответствии со </w:t>
      </w:r>
      <w:hyperlink r:id="rId8">
        <w:r>
          <w:rPr>
            <w:color w:val="0000FF"/>
          </w:rPr>
          <w:t>статьей 102</w:t>
        </w:r>
      </w:hyperlink>
      <w:r>
        <w:t xml:space="preserve"> Устава Организации Объединенных Наций исчерпывающие сведения </w:t>
      </w:r>
      <w:proofErr w:type="gramStart"/>
      <w:r>
        <w:t>о</w:t>
      </w:r>
      <w:proofErr w:type="gramEnd"/>
      <w:r>
        <w:t xml:space="preserve"> всех ратификационных грамотах и заявлениях о денонсации, зарегистрированных им в соответствии с положениями предыдущих статей.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28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В случаях,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</w:t>
      </w:r>
      <w:proofErr w:type="gramStart"/>
      <w:r>
        <w:t>а о ее</w:t>
      </w:r>
      <w:proofErr w:type="gramEnd"/>
      <w:r>
        <w:t xml:space="preserve"> полном или частичном пересмотре.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29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Конференция примет новую конвенцию, полностью или частично пересматривающую настоящую Конвенцию, и если в новой конвенции не предусмотрено иное, то: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 xml:space="preserve">a) ратификация каким-либо членом Организации новой, пересматривающей конвенции влечет за собой автоматически, независимо от положений </w:t>
      </w:r>
      <w:hyperlink w:anchor="P161">
        <w:r>
          <w:rPr>
            <w:color w:val="0000FF"/>
          </w:rPr>
          <w:t>статьи 25</w:t>
        </w:r>
      </w:hyperlink>
      <w:r>
        <w:t>, незамедлительную денонсацию настоящей Конвенции при условии вступления в силу новой, пересматривающей конвенции;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b) со дня вступления в силу новой, пересматривающей конвенции настоящая Конвенция закрыта для ратификации членами Организации.</w:t>
      </w:r>
    </w:p>
    <w:p w:rsidR="00FE3D39" w:rsidRDefault="00FE3D39">
      <w:pPr>
        <w:pStyle w:val="ConsPlusNormal"/>
        <w:spacing w:before="200"/>
        <w:ind w:firstLine="540"/>
        <w:jc w:val="both"/>
      </w:pPr>
      <w:r>
        <w:t>2. Настоящая Конвенция остается в любом случае в силе по форме и содержанию для тех членов Организации, которые ратифицировали ее, но не ратифицировали пересматривающую конвенцию.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jc w:val="center"/>
        <w:outlineLvl w:val="1"/>
      </w:pPr>
      <w:r>
        <w:t>Статья 30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  <w:ind w:firstLine="540"/>
        <w:jc w:val="both"/>
      </w:pPr>
      <w:r>
        <w:t>Английский и французский тексты настоящей Конвенции имеют одинаковую силу.</w:t>
      </w:r>
    </w:p>
    <w:p w:rsidR="00FE3D39" w:rsidRDefault="00FE3D39">
      <w:pPr>
        <w:pStyle w:val="ConsPlusNormal"/>
      </w:pPr>
    </w:p>
    <w:p w:rsidR="00FE3D39" w:rsidRDefault="00FE3D39">
      <w:pPr>
        <w:pStyle w:val="ConsPlusNormal"/>
      </w:pPr>
    </w:p>
    <w:p w:rsidR="00FE3D39" w:rsidRDefault="00FE3D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1" w:name="_GoBack"/>
      <w:bookmarkEnd w:id="11"/>
    </w:p>
    <w:sectPr w:rsidR="00657939" w:rsidSect="0059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39"/>
    <w:rsid w:val="004C5225"/>
    <w:rsid w:val="00657939"/>
    <w:rsid w:val="00E348B9"/>
    <w:rsid w:val="00FE3D3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FE3D3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FE3D39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FE3D3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FE3D3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FE3D39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FE3D3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2B77400F7B80FEA2AA4387AF188082749AE0345DA644207E7B3484356674F094055DA2C25DD7AB5A8CA52518EF28B5DFBD2BBFEA8BA3F7I9X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2B77400F7B80FEA2AA4387AF188082749BE53454A544207E7B3484356674F094055DA2C25DD5A85B8CA52518EF28B5DFBD2BBFEA8BA3F7I9X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2B77400F7B80FEA2AA4387AF188082749BE53454A544207E7B3484356674F094055DA2C25DD5A85B8CA52518EF28B5DFBD2BBFEA8BA3F7I9XBD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2826</Words>
  <Characters>16109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/>
      <vt:lpstr>Раздел I. СФЕРА ПРИМЕНЕНИЯ И ОПРЕДЕЛЕНИЯ</vt:lpstr>
      <vt:lpstr>    Статья 1</vt:lpstr>
      <vt:lpstr>    Статья 2</vt:lpstr>
      <vt:lpstr>    Статья 3</vt:lpstr>
      <vt:lpstr>Раздел II. ПРИНЦИПЫ НАЦИОНАЛЬНОЙ ПОЛИТИКИ</vt:lpstr>
      <vt:lpstr>    Статья 4</vt:lpstr>
      <vt:lpstr>    Статья 5</vt:lpstr>
      <vt:lpstr>    Статья 6</vt:lpstr>
      <vt:lpstr>    Статья 7</vt:lpstr>
      <vt:lpstr>Раздел III. МЕРОПРИЯТИЯ НА НАЦИОНАЛЬНОМ УРОВНЕ</vt:lpstr>
      <vt:lpstr>    Статья 8</vt:lpstr>
      <vt:lpstr>    Статья 9</vt:lpstr>
      <vt:lpstr>    Статья 10</vt:lpstr>
      <vt:lpstr>    Статья 11</vt:lpstr>
      <vt:lpstr>    Статья 12</vt:lpstr>
      <vt:lpstr>    Статья 13</vt:lpstr>
      <vt:lpstr>    Статья 14</vt:lpstr>
      <vt:lpstr>    Статья 15</vt:lpstr>
      <vt:lpstr>Раздел IV. МЕРОПРИЯТИЯ НА УРОВНЕ ПРЕДПРИЯТИЯ</vt:lpstr>
      <vt:lpstr>    Статья 16</vt:lpstr>
      <vt:lpstr>    Статья 17</vt:lpstr>
      <vt:lpstr>    Статья 18</vt:lpstr>
      <vt:lpstr>    Статья 19</vt:lpstr>
      <vt:lpstr>    Статья 20</vt:lpstr>
      <vt:lpstr>    Статья 21</vt:lpstr>
      <vt:lpstr>Раздел V. ЗАКЛЮЧИТЕЛЬНЫЕ ПОЛОЖЕНИЯ</vt:lpstr>
      <vt:lpstr>    Статья 22</vt:lpstr>
      <vt:lpstr>    Статья 23</vt:lpstr>
      <vt:lpstr>    Статья 24</vt:lpstr>
      <vt:lpstr>    Статья 25</vt:lpstr>
      <vt:lpstr>    Статья 26</vt:lpstr>
      <vt:lpstr>    Статья 27</vt:lpstr>
      <vt:lpstr>    Статья 28</vt:lpstr>
      <vt:lpstr>    Статья 29</vt:lpstr>
      <vt:lpstr>    Статья 30</vt:lpstr>
    </vt:vector>
  </TitlesOfParts>
  <Company/>
  <LinksUpToDate>false</LinksUpToDate>
  <CharactersWithSpaces>18898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2023-04-14T03:23:00Z</dcterms:created>
  <dcterms:modified xsi:type="dcterms:W3CDTF">2023-04-14T03:24:00Z</dcterms:modified>
</cp:coreProperties>
</file>