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E621" w14:textId="77777777" w:rsidR="00784604" w:rsidRPr="003731D1" w:rsidRDefault="00784604" w:rsidP="00784604">
      <w:pPr>
        <w:suppressAutoHyphens w:val="0"/>
        <w:overflowPunct/>
        <w:autoSpaceDE/>
        <w:spacing w:after="200"/>
        <w:jc w:val="center"/>
        <w:textAlignment w:val="auto"/>
      </w:pPr>
      <w:r w:rsidRPr="003731D1">
        <w:rPr>
          <w:b/>
          <w:bCs/>
          <w:szCs w:val="28"/>
        </w:rPr>
        <w:t>Отчет о муниципальных закупках города Снежинска за 202</w:t>
      </w:r>
      <w:r>
        <w:rPr>
          <w:b/>
          <w:bCs/>
          <w:szCs w:val="28"/>
        </w:rPr>
        <w:t>2</w:t>
      </w:r>
      <w:r w:rsidRPr="003731D1">
        <w:rPr>
          <w:b/>
          <w:bCs/>
          <w:szCs w:val="28"/>
        </w:rPr>
        <w:t xml:space="preserve"> год</w:t>
      </w:r>
    </w:p>
    <w:p w14:paraId="09C256D5" w14:textId="27BF6115" w:rsidR="00784604" w:rsidRDefault="00784604" w:rsidP="00784604">
      <w:pPr>
        <w:ind w:firstLine="708"/>
        <w:jc w:val="both"/>
      </w:pPr>
      <w:r>
        <w:t xml:space="preserve">Закупки для муниципальных нужд осуществляются в соответствии с </w:t>
      </w:r>
      <w:r w:rsidRPr="009A1578">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t xml:space="preserve">. </w:t>
      </w:r>
    </w:p>
    <w:p w14:paraId="7F89F0DB" w14:textId="77777777" w:rsidR="00784604" w:rsidRPr="00DC58D1" w:rsidRDefault="00784604" w:rsidP="00784604">
      <w:pPr>
        <w:pStyle w:val="a3"/>
        <w:ind w:right="-2"/>
        <w:jc w:val="both"/>
        <w:rPr>
          <w:szCs w:val="20"/>
        </w:rPr>
      </w:pPr>
      <w:r>
        <w:rPr>
          <w:szCs w:val="20"/>
        </w:rPr>
        <w:tab/>
      </w:r>
      <w:r w:rsidRPr="00D95EDB">
        <w:rPr>
          <w:szCs w:val="20"/>
        </w:rPr>
        <w:t xml:space="preserve">В </w:t>
      </w:r>
      <w:r>
        <w:rPr>
          <w:szCs w:val="20"/>
        </w:rPr>
        <w:t>Снежинском городском округе</w:t>
      </w:r>
      <w:r w:rsidRPr="00D95EDB">
        <w:rPr>
          <w:szCs w:val="20"/>
        </w:rPr>
        <w:t xml:space="preserve"> действует смешанная модель управления контрактной системой в сфере закупок товаров, работ, услуг.</w:t>
      </w:r>
      <w:r>
        <w:rPr>
          <w:szCs w:val="20"/>
        </w:rPr>
        <w:t xml:space="preserve"> </w:t>
      </w:r>
      <w:r>
        <w:rPr>
          <w:szCs w:val="20"/>
        </w:rPr>
        <w:tab/>
      </w:r>
      <w:r w:rsidRPr="00DC58D1">
        <w:rPr>
          <w:szCs w:val="28"/>
        </w:rPr>
        <w:t>Полномочиями на самостоятельное определение поставщиков (подрядчиков, исполнителей) наделены муниципальное казённое учреждение «Комитет по управлению имуществом города Снежинска», Муниципальное казённое учреждение «Управление городского хозяйства Снежинского городского округа», Муниципальное казённое учреждение «Служба заказчика по строительству и ремонту».</w:t>
      </w:r>
    </w:p>
    <w:p w14:paraId="69EA0CB3" w14:textId="77777777" w:rsidR="00784604" w:rsidRDefault="00784604" w:rsidP="00784604">
      <w:pPr>
        <w:pStyle w:val="a3"/>
        <w:ind w:right="-2"/>
        <w:jc w:val="both"/>
        <w:rPr>
          <w:szCs w:val="28"/>
        </w:rPr>
      </w:pPr>
      <w:r>
        <w:rPr>
          <w:szCs w:val="20"/>
        </w:rPr>
        <w:tab/>
        <w:t>Полномочиями на о</w:t>
      </w:r>
      <w:r w:rsidRPr="00D95EDB">
        <w:rPr>
          <w:szCs w:val="20"/>
        </w:rPr>
        <w:t xml:space="preserve">пределение поставщиков (подрядчиков, исполнителей) конкурентными способами для заказчиков города Снежинска </w:t>
      </w:r>
      <w:r>
        <w:rPr>
          <w:szCs w:val="20"/>
        </w:rPr>
        <w:t>наделены два</w:t>
      </w:r>
      <w:r w:rsidRPr="00D95EDB">
        <w:rPr>
          <w:szCs w:val="20"/>
        </w:rPr>
        <w:t xml:space="preserve"> уполномоченны</w:t>
      </w:r>
      <w:r>
        <w:rPr>
          <w:szCs w:val="20"/>
        </w:rPr>
        <w:t>х</w:t>
      </w:r>
      <w:r w:rsidRPr="00D95EDB">
        <w:rPr>
          <w:szCs w:val="20"/>
        </w:rPr>
        <w:t xml:space="preserve"> органа</w:t>
      </w:r>
      <w:r>
        <w:rPr>
          <w:szCs w:val="20"/>
        </w:rPr>
        <w:t xml:space="preserve"> - </w:t>
      </w:r>
      <w:r w:rsidRPr="00D95EDB">
        <w:rPr>
          <w:szCs w:val="20"/>
        </w:rPr>
        <w:t>уполномоченный орг</w:t>
      </w:r>
      <w:r>
        <w:rPr>
          <w:szCs w:val="20"/>
        </w:rPr>
        <w:t>а</w:t>
      </w:r>
      <w:r w:rsidRPr="00D95EDB">
        <w:rPr>
          <w:szCs w:val="20"/>
        </w:rPr>
        <w:t>н Управления образования города Снежинска</w:t>
      </w:r>
      <w:r>
        <w:rPr>
          <w:szCs w:val="20"/>
        </w:rPr>
        <w:t xml:space="preserve"> (</w:t>
      </w:r>
      <w:r>
        <w:rPr>
          <w:szCs w:val="28"/>
        </w:rPr>
        <w:t xml:space="preserve">для 23 подведомственных ему учреждений) и </w:t>
      </w:r>
      <w:r w:rsidRPr="00D95EDB">
        <w:rPr>
          <w:szCs w:val="20"/>
        </w:rPr>
        <w:t>уполномоченный орган администрации города Снежинска</w:t>
      </w:r>
      <w:r>
        <w:rPr>
          <w:szCs w:val="20"/>
        </w:rPr>
        <w:t xml:space="preserve"> (для остальных заказчиков)</w:t>
      </w:r>
      <w:r>
        <w:rPr>
          <w:szCs w:val="28"/>
        </w:rPr>
        <w:t>.</w:t>
      </w:r>
    </w:p>
    <w:p w14:paraId="52F614B4" w14:textId="77777777" w:rsidR="00784604" w:rsidRDefault="00784604" w:rsidP="00784604">
      <w:pPr>
        <w:pStyle w:val="a3"/>
        <w:ind w:right="-2"/>
        <w:jc w:val="both"/>
        <w:rPr>
          <w:szCs w:val="28"/>
        </w:rPr>
      </w:pPr>
      <w:r>
        <w:rPr>
          <w:szCs w:val="28"/>
        </w:rPr>
        <w:tab/>
        <w:t xml:space="preserve">По состоянию на 30 декабря </w:t>
      </w:r>
      <w:r w:rsidRPr="00DC58D1">
        <w:rPr>
          <w:szCs w:val="28"/>
        </w:rPr>
        <w:t>202</w:t>
      </w:r>
      <w:r>
        <w:rPr>
          <w:szCs w:val="28"/>
        </w:rPr>
        <w:t>2</w:t>
      </w:r>
      <w:r w:rsidRPr="00DC58D1">
        <w:rPr>
          <w:szCs w:val="28"/>
        </w:rPr>
        <w:t xml:space="preserve"> года в Снежинском городском округе </w:t>
      </w:r>
      <w:r>
        <w:rPr>
          <w:szCs w:val="28"/>
        </w:rPr>
        <w:t xml:space="preserve">осуществляет закупки в соответствии с Законом о контрактной системе </w:t>
      </w:r>
      <w:r w:rsidRPr="00DC58D1">
        <w:rPr>
          <w:szCs w:val="28"/>
        </w:rPr>
        <w:t>5</w:t>
      </w:r>
      <w:r>
        <w:rPr>
          <w:szCs w:val="28"/>
        </w:rPr>
        <w:t>1</w:t>
      </w:r>
      <w:r w:rsidRPr="00DC58D1">
        <w:rPr>
          <w:szCs w:val="28"/>
        </w:rPr>
        <w:t xml:space="preserve"> муниципальны</w:t>
      </w:r>
      <w:r>
        <w:rPr>
          <w:szCs w:val="28"/>
        </w:rPr>
        <w:t>й</w:t>
      </w:r>
      <w:r w:rsidRPr="00DC58D1">
        <w:rPr>
          <w:szCs w:val="28"/>
        </w:rPr>
        <w:t xml:space="preserve"> заказчик. </w:t>
      </w:r>
      <w:r>
        <w:rPr>
          <w:szCs w:val="28"/>
        </w:rPr>
        <w:t xml:space="preserve">Муниципальных заказчиков в 2022 году стало меньше на 1 по сравнению с 2021 годом по причине реорганизации </w:t>
      </w:r>
      <w:r w:rsidRPr="00A879B4">
        <w:rPr>
          <w:szCs w:val="28"/>
        </w:rPr>
        <w:t>Управлени</w:t>
      </w:r>
      <w:r>
        <w:rPr>
          <w:szCs w:val="28"/>
        </w:rPr>
        <w:t>я</w:t>
      </w:r>
      <w:r w:rsidRPr="00A879B4">
        <w:rPr>
          <w:szCs w:val="28"/>
        </w:rPr>
        <w:t xml:space="preserve"> ГОЧС г.Снежинска</w:t>
      </w:r>
      <w:r>
        <w:rPr>
          <w:szCs w:val="28"/>
        </w:rPr>
        <w:t xml:space="preserve"> в </w:t>
      </w:r>
      <w:r w:rsidRPr="00A879B4">
        <w:rPr>
          <w:szCs w:val="28"/>
        </w:rPr>
        <w:t>Отдел гражданской защиты администрации Снежинского городского округа</w:t>
      </w:r>
      <w:r>
        <w:rPr>
          <w:szCs w:val="28"/>
        </w:rPr>
        <w:t>.</w:t>
      </w:r>
    </w:p>
    <w:p w14:paraId="458529E3" w14:textId="77777777" w:rsidR="00784604" w:rsidRDefault="00784604" w:rsidP="00784604">
      <w:pPr>
        <w:pStyle w:val="a3"/>
        <w:ind w:right="-2" w:firstLine="708"/>
        <w:jc w:val="both"/>
        <w:rPr>
          <w:szCs w:val="28"/>
        </w:rPr>
      </w:pPr>
      <w:r w:rsidRPr="00DC58D1">
        <w:rPr>
          <w:szCs w:val="28"/>
        </w:rPr>
        <w:t>Уполномоченные органы и муниципальные заказчики взаимодействуют между собой и осуществляют закупки на основании Порядка взаимодействия заказчиков и уполномоченных органов на осуществление функций по определению поставщиков (подрядчиков, исполнителей) для заказчиков, утвержденного постановлением администрации.</w:t>
      </w:r>
    </w:p>
    <w:p w14:paraId="20A4C3E8" w14:textId="77777777" w:rsidR="00784604" w:rsidRDefault="00784604" w:rsidP="00784604">
      <w:pPr>
        <w:pStyle w:val="a3"/>
        <w:ind w:right="-2" w:firstLine="708"/>
        <w:jc w:val="both"/>
        <w:rPr>
          <w:szCs w:val="28"/>
          <w:lang w:eastAsia="ru-RU"/>
        </w:rPr>
      </w:pPr>
      <w:r w:rsidRPr="00C85027">
        <w:rPr>
          <w:szCs w:val="28"/>
          <w:lang w:eastAsia="ru-RU"/>
        </w:rPr>
        <w:t>В целях «прозрачности» процедур закупок информаци</w:t>
      </w:r>
      <w:r>
        <w:rPr>
          <w:szCs w:val="28"/>
          <w:lang w:eastAsia="ru-RU"/>
        </w:rPr>
        <w:t>я</w:t>
      </w:r>
      <w:r w:rsidRPr="00C85027">
        <w:rPr>
          <w:szCs w:val="28"/>
          <w:lang w:eastAsia="ru-RU"/>
        </w:rPr>
        <w:t xml:space="preserve"> о всех закупках </w:t>
      </w:r>
      <w:r>
        <w:rPr>
          <w:szCs w:val="28"/>
          <w:lang w:eastAsia="ru-RU"/>
        </w:rPr>
        <w:t xml:space="preserve">размещается не только на </w:t>
      </w:r>
      <w:hyperlink r:id="rId5" w:history="1">
        <w:r w:rsidRPr="00032039">
          <w:rPr>
            <w:szCs w:val="28"/>
            <w:lang w:eastAsia="ru-RU"/>
          </w:rPr>
          <w:t>официально</w:t>
        </w:r>
        <w:r>
          <w:rPr>
            <w:szCs w:val="28"/>
            <w:lang w:eastAsia="ru-RU"/>
          </w:rPr>
          <w:t>м</w:t>
        </w:r>
        <w:r w:rsidRPr="00032039">
          <w:rPr>
            <w:szCs w:val="28"/>
            <w:lang w:eastAsia="ru-RU"/>
          </w:rPr>
          <w:t xml:space="preserve"> сайт</w:t>
        </w:r>
        <w:r>
          <w:rPr>
            <w:szCs w:val="28"/>
            <w:lang w:eastAsia="ru-RU"/>
          </w:rPr>
          <w:t>е</w:t>
        </w:r>
      </w:hyperlink>
      <w:r w:rsidRPr="00032039">
        <w:rPr>
          <w:szCs w:val="28"/>
          <w:lang w:eastAsia="ru-RU"/>
        </w:rPr>
        <w:t xml:space="preserve"> единой информационной системы в информационно-телекоммуникационной</w:t>
      </w:r>
      <w:r>
        <w:rPr>
          <w:szCs w:val="28"/>
        </w:rPr>
        <w:t xml:space="preserve"> сети "Интернет" </w:t>
      </w:r>
      <w:hyperlink r:id="rId6" w:history="1">
        <w:r w:rsidRPr="00C85027">
          <w:rPr>
            <w:szCs w:val="28"/>
            <w:lang w:eastAsia="ru-RU"/>
          </w:rPr>
          <w:t>www.zakupki.gov.ru</w:t>
        </w:r>
      </w:hyperlink>
      <w:r w:rsidRPr="00C85027">
        <w:rPr>
          <w:szCs w:val="28"/>
          <w:lang w:eastAsia="ru-RU"/>
        </w:rPr>
        <w:t xml:space="preserve">, но и на официальном сайте органов местного самоуправления города Снежинска </w:t>
      </w:r>
      <w:hyperlink r:id="rId7" w:history="1">
        <w:r w:rsidRPr="00C85027">
          <w:rPr>
            <w:szCs w:val="28"/>
            <w:lang w:eastAsia="ru-RU"/>
          </w:rPr>
          <w:t>www.snzadm.ru</w:t>
        </w:r>
      </w:hyperlink>
      <w:r w:rsidRPr="00C85027">
        <w:rPr>
          <w:szCs w:val="28"/>
          <w:lang w:eastAsia="ru-RU"/>
        </w:rPr>
        <w:t xml:space="preserve"> в </w:t>
      </w:r>
      <w:r>
        <w:rPr>
          <w:szCs w:val="28"/>
          <w:lang w:eastAsia="ru-RU"/>
        </w:rPr>
        <w:t xml:space="preserve">разделе </w:t>
      </w:r>
      <w:r w:rsidRPr="00C85027">
        <w:rPr>
          <w:szCs w:val="28"/>
          <w:lang w:eastAsia="ru-RU"/>
        </w:rPr>
        <w:t>«Муниципальный заказ», под</w:t>
      </w:r>
      <w:r>
        <w:rPr>
          <w:szCs w:val="28"/>
          <w:lang w:eastAsia="ru-RU"/>
        </w:rPr>
        <w:t>раздел</w:t>
      </w:r>
      <w:r w:rsidRPr="00C85027">
        <w:rPr>
          <w:szCs w:val="28"/>
          <w:lang w:eastAsia="ru-RU"/>
        </w:rPr>
        <w:t xml:space="preserve"> «Витрина закупок».</w:t>
      </w:r>
    </w:p>
    <w:p w14:paraId="6BFC57F9" w14:textId="77777777" w:rsidR="00784604" w:rsidRPr="00814636" w:rsidRDefault="00784604" w:rsidP="00784604">
      <w:pPr>
        <w:pStyle w:val="a3"/>
        <w:ind w:right="-2" w:firstLine="708"/>
        <w:jc w:val="both"/>
        <w:rPr>
          <w:szCs w:val="28"/>
          <w:lang w:eastAsia="ru-RU"/>
        </w:rPr>
      </w:pPr>
      <w:r w:rsidRPr="00FC310A">
        <w:rPr>
          <w:szCs w:val="20"/>
        </w:rPr>
        <w:t>В соответствии с Законом о контрактной системе в 2022 г. в Снежинском городском округе было осуществлено закупок в объеме 1048,3 млн руб., заключено контрактов на общую сумму 998,9 млн руб., в том числе:</w:t>
      </w:r>
    </w:p>
    <w:p w14:paraId="4AC7CA3E" w14:textId="77777777" w:rsidR="00784604" w:rsidRPr="00FC310A" w:rsidRDefault="00784604" w:rsidP="00784604">
      <w:pPr>
        <w:numPr>
          <w:ilvl w:val="0"/>
          <w:numId w:val="1"/>
        </w:numPr>
        <w:tabs>
          <w:tab w:val="clear" w:pos="720"/>
        </w:tabs>
        <w:suppressAutoHyphens w:val="0"/>
        <w:overflowPunct/>
        <w:autoSpaceDE/>
        <w:ind w:left="0" w:firstLine="709"/>
        <w:jc w:val="both"/>
        <w:textAlignment w:val="auto"/>
      </w:pPr>
      <w:r w:rsidRPr="00FC310A">
        <w:t xml:space="preserve">заключено контрактов по результатам проведения конкурентных процедур на сумму 562,1 млн руб., что составляет 56,3 % от общей суммы заключенных контрактов; </w:t>
      </w:r>
    </w:p>
    <w:p w14:paraId="6DA67DD1" w14:textId="77777777" w:rsidR="00784604" w:rsidRPr="00FC310A" w:rsidRDefault="00784604" w:rsidP="00784604">
      <w:pPr>
        <w:numPr>
          <w:ilvl w:val="0"/>
          <w:numId w:val="1"/>
        </w:numPr>
        <w:tabs>
          <w:tab w:val="clear" w:pos="720"/>
          <w:tab w:val="num" w:pos="360"/>
        </w:tabs>
        <w:suppressAutoHyphens w:val="0"/>
        <w:overflowPunct/>
        <w:autoSpaceDE/>
        <w:ind w:left="0" w:firstLine="709"/>
        <w:jc w:val="both"/>
        <w:textAlignment w:val="auto"/>
      </w:pPr>
      <w:r w:rsidRPr="00FC310A">
        <w:lastRenderedPageBreak/>
        <w:t>по результатам закупок у единственного поставщика без проведения конкурентных процедур (коммунальные услуги и пр.) на сумму 159,1 млн руб., что составляет 15,9 % от общей суммы заключенных контрактов;</w:t>
      </w:r>
    </w:p>
    <w:p w14:paraId="2735BE34" w14:textId="77777777" w:rsidR="00784604" w:rsidRPr="00B9666D" w:rsidRDefault="00784604" w:rsidP="00784604">
      <w:pPr>
        <w:pStyle w:val="a6"/>
        <w:numPr>
          <w:ilvl w:val="0"/>
          <w:numId w:val="1"/>
        </w:numPr>
        <w:tabs>
          <w:tab w:val="clear" w:pos="720"/>
          <w:tab w:val="num" w:pos="360"/>
        </w:tabs>
        <w:spacing w:after="0" w:line="240" w:lineRule="auto"/>
        <w:ind w:left="0" w:firstLine="709"/>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по результатам закупок у единственного поставщика без проведения конкурентных процедур, так называемые закупки малого объема, на сумму 277,7 млн руб., что составляет 27,8 % от общей суммы заключенных контрактов.</w:t>
      </w:r>
    </w:p>
    <w:p w14:paraId="53CE8D5B" w14:textId="77777777" w:rsidR="00784604" w:rsidRPr="00B9666D" w:rsidRDefault="00784604" w:rsidP="00784604">
      <w:pPr>
        <w:pStyle w:val="a6"/>
        <w:ind w:left="0" w:firstLine="709"/>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 xml:space="preserve"> Сводная информация по способам закупок представлена в Диаграмме 1.1, Диаграмме 1.2</w:t>
      </w:r>
    </w:p>
    <w:p w14:paraId="3611CC4D" w14:textId="77777777" w:rsidR="00784604" w:rsidRDefault="00784604" w:rsidP="00784604">
      <w:pPr>
        <w:jc w:val="center"/>
        <w:rPr>
          <w:b/>
          <w:bCs/>
          <w:szCs w:val="28"/>
        </w:rPr>
      </w:pPr>
      <w:r w:rsidRPr="00B9666D">
        <w:rPr>
          <w:b/>
          <w:bCs/>
          <w:szCs w:val="28"/>
        </w:rPr>
        <w:t>Диаграмма</w:t>
      </w:r>
      <w:r>
        <w:rPr>
          <w:b/>
          <w:bCs/>
          <w:szCs w:val="28"/>
        </w:rPr>
        <w:t xml:space="preserve"> </w:t>
      </w:r>
      <w:r w:rsidRPr="00FC310A">
        <w:rPr>
          <w:b/>
          <w:bCs/>
          <w:szCs w:val="28"/>
        </w:rPr>
        <w:t xml:space="preserve"> 1.</w:t>
      </w:r>
      <w:r>
        <w:rPr>
          <w:b/>
          <w:bCs/>
          <w:szCs w:val="28"/>
        </w:rPr>
        <w:t xml:space="preserve">1 </w:t>
      </w:r>
      <w:r w:rsidRPr="00FC310A">
        <w:rPr>
          <w:b/>
          <w:bCs/>
          <w:szCs w:val="28"/>
        </w:rPr>
        <w:t xml:space="preserve"> </w:t>
      </w:r>
      <w:r>
        <w:rPr>
          <w:b/>
          <w:bCs/>
          <w:szCs w:val="28"/>
        </w:rPr>
        <w:t>Доля контрактов, заключенных по результатам конкурентных закупок от общей суммы заключенных контрактов</w:t>
      </w:r>
    </w:p>
    <w:p w14:paraId="63D7838E" w14:textId="77777777" w:rsidR="00784604" w:rsidRDefault="00784604" w:rsidP="00784604">
      <w:pPr>
        <w:jc w:val="both"/>
      </w:pPr>
      <w:r w:rsidRPr="00C85C51">
        <w:rPr>
          <w:noProof/>
          <w:lang w:eastAsia="ru-RU"/>
        </w:rPr>
        <w:drawing>
          <wp:inline distT="0" distB="0" distL="0" distR="0" wp14:anchorId="2B45FCE4" wp14:editId="37038488">
            <wp:extent cx="5710030" cy="2854518"/>
            <wp:effectExtent l="19050" t="0" r="24020" b="2982"/>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DED9C4" w14:textId="77777777" w:rsidR="00784604" w:rsidRDefault="00784604" w:rsidP="00305406">
      <w:pPr>
        <w:spacing w:before="240"/>
        <w:jc w:val="center"/>
      </w:pPr>
      <w:r>
        <w:rPr>
          <w:b/>
          <w:bCs/>
          <w:szCs w:val="28"/>
        </w:rPr>
        <w:t xml:space="preserve">Диаграмма </w:t>
      </w:r>
      <w:r w:rsidRPr="00FC310A">
        <w:rPr>
          <w:b/>
          <w:bCs/>
          <w:szCs w:val="28"/>
        </w:rPr>
        <w:t xml:space="preserve"> 1.</w:t>
      </w:r>
      <w:r>
        <w:rPr>
          <w:b/>
          <w:bCs/>
          <w:szCs w:val="28"/>
        </w:rPr>
        <w:t xml:space="preserve">2 </w:t>
      </w:r>
      <w:r w:rsidRPr="00FC310A">
        <w:rPr>
          <w:b/>
          <w:bCs/>
          <w:szCs w:val="28"/>
        </w:rPr>
        <w:t xml:space="preserve"> </w:t>
      </w:r>
      <w:r>
        <w:rPr>
          <w:b/>
          <w:bCs/>
          <w:szCs w:val="28"/>
        </w:rPr>
        <w:t>Доля контрактов, заключенных по результатам конкурентных закупок от общего количества заключенных контрактов</w:t>
      </w:r>
      <w:r w:rsidRPr="00C85C51">
        <w:rPr>
          <w:noProof/>
          <w:lang w:eastAsia="ru-RU"/>
        </w:rPr>
        <w:drawing>
          <wp:inline distT="0" distB="0" distL="0" distR="0" wp14:anchorId="1D0016BF" wp14:editId="27755FDA">
            <wp:extent cx="5861106" cy="2873292"/>
            <wp:effectExtent l="19050" t="0" r="25344" b="3258"/>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5525B8" w14:textId="77777777" w:rsidR="00784604" w:rsidRPr="00BF0FD4" w:rsidRDefault="00784604" w:rsidP="00784604">
      <w:pPr>
        <w:ind w:firstLine="708"/>
        <w:jc w:val="both"/>
      </w:pPr>
      <w:r w:rsidRPr="00BF0FD4">
        <w:lastRenderedPageBreak/>
        <w:t>Согласно приведенн</w:t>
      </w:r>
      <w:r>
        <w:t>ым</w:t>
      </w:r>
      <w:r w:rsidRPr="00BF0FD4">
        <w:t xml:space="preserve"> </w:t>
      </w:r>
      <w:r>
        <w:t>данным</w:t>
      </w:r>
      <w:r w:rsidRPr="00BF0FD4">
        <w:t xml:space="preserve">, можно увидеть, что по сравнению с 2020 годом в 2022 году доля конкурентных закупок в суммовом выражении выросла на </w:t>
      </w:r>
      <w:r w:rsidRPr="00BF0FD4">
        <w:rPr>
          <w:b/>
        </w:rPr>
        <w:t>90,3 %,</w:t>
      </w:r>
      <w:r w:rsidRPr="00BF0FD4">
        <w:t xml:space="preserve"> а в количественном выражении на </w:t>
      </w:r>
      <w:r w:rsidRPr="00BF0FD4">
        <w:rPr>
          <w:b/>
        </w:rPr>
        <w:t>22,8%.</w:t>
      </w:r>
      <w:r>
        <w:rPr>
          <w:b/>
        </w:rPr>
        <w:t xml:space="preserve"> </w:t>
      </w:r>
      <w:r w:rsidRPr="00BF0FD4">
        <w:t xml:space="preserve">Данная тенденция вызвана увеличением </w:t>
      </w:r>
      <w:r>
        <w:t>финансовых средств, выделенных на закупки в 2021, 2022 г.</w:t>
      </w:r>
    </w:p>
    <w:p w14:paraId="6294E4CD" w14:textId="77777777" w:rsidR="00784604" w:rsidRDefault="00784604" w:rsidP="00784604">
      <w:pPr>
        <w:ind w:firstLine="708"/>
        <w:jc w:val="both"/>
      </w:pPr>
      <w:r>
        <w:t>При проведении конкурентных процедур н</w:t>
      </w:r>
      <w:r w:rsidRPr="005F6910">
        <w:t>аиболее востребованным</w:t>
      </w:r>
      <w:r>
        <w:t>и</w:t>
      </w:r>
      <w:r w:rsidRPr="005F6910">
        <w:t xml:space="preserve"> способ</w:t>
      </w:r>
      <w:r>
        <w:t>ами</w:t>
      </w:r>
      <w:r w:rsidRPr="005F6910">
        <w:t xml:space="preserve"> закупки по удобству и минимизации издержек для всех участников явля</w:t>
      </w:r>
      <w:r>
        <w:t>е</w:t>
      </w:r>
      <w:r w:rsidRPr="005F6910">
        <w:t xml:space="preserve">тся </w:t>
      </w:r>
      <w:r w:rsidRPr="003A1EDE">
        <w:t>электронный аукцион</w:t>
      </w:r>
      <w:r>
        <w:t xml:space="preserve">. </w:t>
      </w:r>
    </w:p>
    <w:p w14:paraId="051A67F7" w14:textId="77777777" w:rsidR="00784604" w:rsidRPr="00487AED" w:rsidRDefault="00784604" w:rsidP="00784604">
      <w:pPr>
        <w:pStyle w:val="a3"/>
        <w:jc w:val="both"/>
        <w:rPr>
          <w:szCs w:val="20"/>
        </w:rPr>
      </w:pPr>
      <w:r>
        <w:tab/>
      </w:r>
      <w:r w:rsidRPr="00093ECA">
        <w:rPr>
          <w:szCs w:val="20"/>
        </w:rPr>
        <w:t>Хотелось бы отметить заказчиков, которые</w:t>
      </w:r>
      <w:r>
        <w:rPr>
          <w:szCs w:val="20"/>
        </w:rPr>
        <w:t xml:space="preserve"> </w:t>
      </w:r>
      <w:r w:rsidRPr="00487AED">
        <w:rPr>
          <w:bCs/>
          <w:szCs w:val="20"/>
        </w:rPr>
        <w:t>проводят закупки в основном путем</w:t>
      </w:r>
      <w:r w:rsidRPr="00487AED">
        <w:rPr>
          <w:szCs w:val="20"/>
        </w:rPr>
        <w:t xml:space="preserve"> </w:t>
      </w:r>
      <w:r w:rsidRPr="00487AED">
        <w:rPr>
          <w:bCs/>
          <w:szCs w:val="20"/>
        </w:rPr>
        <w:t>проведения конкурентных способов определения поставщика (подрядчика, исполнителя)</w:t>
      </w:r>
      <w:r w:rsidRPr="00487AED">
        <w:rPr>
          <w:szCs w:val="20"/>
        </w:rPr>
        <w:t xml:space="preserve">: </w:t>
      </w:r>
    </w:p>
    <w:p w14:paraId="611319E3" w14:textId="77777777" w:rsidR="00784604" w:rsidRPr="00B9666D" w:rsidRDefault="00784604" w:rsidP="00784604">
      <w:pPr>
        <w:pStyle w:val="a6"/>
        <w:ind w:left="0"/>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 МКУ «СЗСР» - 82,9 % от всех закупок заказчика;</w:t>
      </w:r>
    </w:p>
    <w:p w14:paraId="34D50B48" w14:textId="77777777" w:rsidR="00784604" w:rsidRPr="00B9666D" w:rsidRDefault="00784604" w:rsidP="00784604">
      <w:pPr>
        <w:pStyle w:val="a6"/>
        <w:ind w:left="0"/>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 МКУ «УГХ СГО» - 84,3 % от всех закупок заказчика;</w:t>
      </w:r>
    </w:p>
    <w:p w14:paraId="6C1E9F9F" w14:textId="77777777" w:rsidR="00784604" w:rsidRPr="00B9666D" w:rsidRDefault="00784604" w:rsidP="00784604">
      <w:pPr>
        <w:pStyle w:val="a6"/>
        <w:ind w:left="0"/>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 Администрация города Снежинска - 56,4 % от всех закупок заказчика;</w:t>
      </w:r>
    </w:p>
    <w:p w14:paraId="6DDE8820" w14:textId="77777777" w:rsidR="00784604" w:rsidRPr="00B9666D" w:rsidRDefault="00784604" w:rsidP="00784604">
      <w:pPr>
        <w:pStyle w:val="a6"/>
        <w:ind w:left="0"/>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 МКП «Чистый город» - 57,4 %</w:t>
      </w:r>
      <w:r w:rsidRPr="00B9666D">
        <w:rPr>
          <w:rFonts w:ascii="Times New Roman" w:hAnsi="Times New Roman" w:cs="Times New Roman"/>
          <w:lang w:val="ru-RU"/>
        </w:rPr>
        <w:t xml:space="preserve"> </w:t>
      </w:r>
      <w:r w:rsidRPr="00B9666D">
        <w:rPr>
          <w:rFonts w:ascii="Times New Roman" w:hAnsi="Times New Roman" w:cs="Times New Roman"/>
          <w:sz w:val="28"/>
          <w:szCs w:val="20"/>
          <w:lang w:val="ru-RU" w:eastAsia="zh-CN"/>
        </w:rPr>
        <w:t>от всех закупок заказчика;</w:t>
      </w:r>
    </w:p>
    <w:p w14:paraId="0D192D16" w14:textId="77777777" w:rsidR="00784604" w:rsidRPr="00B9666D" w:rsidRDefault="00784604" w:rsidP="00784604">
      <w:pPr>
        <w:pStyle w:val="a6"/>
        <w:ind w:left="0"/>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 КУИ города Снежинска - 76,3 % от всех закупок заказчика;</w:t>
      </w:r>
    </w:p>
    <w:p w14:paraId="19E36968" w14:textId="77777777" w:rsidR="00784604" w:rsidRPr="00B9666D" w:rsidRDefault="00784604" w:rsidP="00784604">
      <w:pPr>
        <w:pStyle w:val="a6"/>
        <w:ind w:left="0"/>
        <w:jc w:val="both"/>
        <w:rPr>
          <w:rFonts w:ascii="Times New Roman" w:hAnsi="Times New Roman" w:cs="Times New Roman"/>
          <w:sz w:val="28"/>
          <w:szCs w:val="20"/>
          <w:lang w:val="ru-RU" w:eastAsia="zh-CN"/>
        </w:rPr>
      </w:pPr>
      <w:r w:rsidRPr="00B9666D">
        <w:rPr>
          <w:rFonts w:ascii="Times New Roman" w:hAnsi="Times New Roman" w:cs="Times New Roman"/>
          <w:sz w:val="28"/>
          <w:szCs w:val="20"/>
          <w:lang w:val="ru-RU" w:eastAsia="zh-CN"/>
        </w:rPr>
        <w:t>- МБУ «Информком» - 84,8 % от всех закупок заказчика.</w:t>
      </w:r>
    </w:p>
    <w:p w14:paraId="444F680A" w14:textId="77777777" w:rsidR="00784604" w:rsidRDefault="00784604" w:rsidP="00784604">
      <w:pPr>
        <w:ind w:firstLine="708"/>
        <w:jc w:val="both"/>
      </w:pPr>
      <w:r w:rsidRPr="00E56D25">
        <w:t xml:space="preserve">Именно благодаря проведению конкурентных закупок экономия по результатам проведения торгов за 2022 год более чем на 34 % превысила экономию за 2021 год и составила 49,3 млн руб., которые были направлены на закупку дополнительных товаров, работ и услуг (см. </w:t>
      </w:r>
      <w:r>
        <w:t>Диаграмму 1.3</w:t>
      </w:r>
      <w:r w:rsidRPr="00E56D25">
        <w:t>).</w:t>
      </w:r>
    </w:p>
    <w:p w14:paraId="35571662" w14:textId="77777777" w:rsidR="00784604" w:rsidRPr="00E56D25" w:rsidRDefault="00784604" w:rsidP="00784604">
      <w:pPr>
        <w:spacing w:before="240"/>
        <w:jc w:val="center"/>
        <w:rPr>
          <w:b/>
          <w:bCs/>
          <w:szCs w:val="28"/>
        </w:rPr>
      </w:pPr>
      <w:r>
        <w:rPr>
          <w:b/>
          <w:bCs/>
          <w:szCs w:val="28"/>
        </w:rPr>
        <w:t xml:space="preserve">Диаграмма 1.3 </w:t>
      </w:r>
      <w:r w:rsidRPr="00E56D25">
        <w:rPr>
          <w:b/>
          <w:bCs/>
          <w:szCs w:val="28"/>
        </w:rPr>
        <w:t xml:space="preserve"> Экономия по конкурентным закупкам </w:t>
      </w:r>
    </w:p>
    <w:p w14:paraId="690283C4" w14:textId="77777777" w:rsidR="00784604" w:rsidRDefault="00784604" w:rsidP="00784604">
      <w:pPr>
        <w:spacing w:before="240"/>
        <w:jc w:val="center"/>
        <w:rPr>
          <w:b/>
          <w:sz w:val="24"/>
          <w:szCs w:val="24"/>
        </w:rPr>
      </w:pPr>
      <w:r w:rsidRPr="00DF0AA4">
        <w:rPr>
          <w:b/>
          <w:noProof/>
          <w:sz w:val="24"/>
          <w:szCs w:val="24"/>
          <w:lang w:eastAsia="ru-RU"/>
        </w:rPr>
        <w:drawing>
          <wp:inline distT="0" distB="0" distL="0" distR="0" wp14:anchorId="5CEAE617" wp14:editId="3A89ED87">
            <wp:extent cx="6089153" cy="3395207"/>
            <wp:effectExtent l="19050" t="0" r="25897"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85F210" w14:textId="77777777" w:rsidR="00784604" w:rsidRDefault="00784604" w:rsidP="00784604">
      <w:pPr>
        <w:ind w:firstLine="708"/>
        <w:jc w:val="both"/>
      </w:pPr>
      <w:r w:rsidRPr="0070357F">
        <w:t>Уровень конкуренции в закупках испытывает незначительные колебания с 2020 года по 2022 год, на каждую конкурентную процедуру приходится в среднем около трех заявок</w:t>
      </w:r>
      <w:r>
        <w:t xml:space="preserve"> (см. Таблицу 1.1). В основном в </w:t>
      </w:r>
      <w:r>
        <w:lastRenderedPageBreak/>
        <w:t>закупках принимают участие поставщики (исполнители, подрядчики) из Челябинской и Свердловской областей, города Снежинска.</w:t>
      </w:r>
    </w:p>
    <w:p w14:paraId="4DA40CF4" w14:textId="77777777" w:rsidR="00784604" w:rsidRDefault="00784604" w:rsidP="00784604">
      <w:pPr>
        <w:jc w:val="both"/>
      </w:pPr>
    </w:p>
    <w:p w14:paraId="32710F72" w14:textId="77777777" w:rsidR="00784604" w:rsidRPr="0070357F" w:rsidRDefault="00784604" w:rsidP="00784604">
      <w:pPr>
        <w:jc w:val="center"/>
        <w:rPr>
          <w:b/>
          <w:bCs/>
          <w:szCs w:val="28"/>
        </w:rPr>
      </w:pPr>
      <w:r w:rsidRPr="00E56D25">
        <w:rPr>
          <w:b/>
          <w:bCs/>
          <w:szCs w:val="28"/>
        </w:rPr>
        <w:t>Таблица 1.</w:t>
      </w:r>
      <w:r>
        <w:rPr>
          <w:b/>
          <w:bCs/>
          <w:szCs w:val="28"/>
        </w:rPr>
        <w:t>1</w:t>
      </w:r>
      <w:r w:rsidRPr="00E56D25">
        <w:rPr>
          <w:b/>
          <w:bCs/>
          <w:szCs w:val="28"/>
        </w:rPr>
        <w:t xml:space="preserve"> </w:t>
      </w:r>
      <w:r>
        <w:rPr>
          <w:b/>
          <w:bCs/>
          <w:szCs w:val="28"/>
        </w:rPr>
        <w:t xml:space="preserve"> </w:t>
      </w:r>
      <w:r w:rsidRPr="00E56D25">
        <w:rPr>
          <w:b/>
          <w:bCs/>
          <w:szCs w:val="28"/>
        </w:rPr>
        <w:t>Количество</w:t>
      </w:r>
      <w:r w:rsidRPr="0070357F">
        <w:rPr>
          <w:b/>
          <w:bCs/>
          <w:szCs w:val="28"/>
        </w:rPr>
        <w:t xml:space="preserve"> заявок, </w:t>
      </w:r>
    </w:p>
    <w:p w14:paraId="366A4E66" w14:textId="77777777" w:rsidR="00784604" w:rsidRPr="0070357F" w:rsidRDefault="00784604" w:rsidP="00784604">
      <w:pPr>
        <w:jc w:val="center"/>
        <w:rPr>
          <w:b/>
          <w:bCs/>
          <w:szCs w:val="28"/>
        </w:rPr>
      </w:pPr>
      <w:r w:rsidRPr="0070357F">
        <w:rPr>
          <w:b/>
          <w:bCs/>
          <w:szCs w:val="28"/>
        </w:rPr>
        <w:t>поданных участниками конкурентных закупок</w:t>
      </w:r>
    </w:p>
    <w:p w14:paraId="274E6B8F" w14:textId="77777777" w:rsidR="00784604" w:rsidRPr="006866C4" w:rsidRDefault="00784604" w:rsidP="00784604">
      <w:pPr>
        <w:jc w:val="center"/>
        <w:rPr>
          <w:b/>
          <w:szCs w:val="28"/>
        </w:rPr>
      </w:pPr>
    </w:p>
    <w:tbl>
      <w:tblPr>
        <w:tblStyle w:val="a5"/>
        <w:tblW w:w="0" w:type="auto"/>
        <w:jc w:val="center"/>
        <w:tblLook w:val="04A0" w:firstRow="1" w:lastRow="0" w:firstColumn="1" w:lastColumn="0" w:noHBand="0" w:noVBand="1"/>
      </w:tblPr>
      <w:tblGrid>
        <w:gridCol w:w="5608"/>
        <w:gridCol w:w="1275"/>
        <w:gridCol w:w="1134"/>
        <w:gridCol w:w="1134"/>
      </w:tblGrid>
      <w:tr w:rsidR="00784604" w14:paraId="5B5587BC" w14:textId="77777777" w:rsidTr="001D0725">
        <w:trPr>
          <w:jc w:val="center"/>
        </w:trPr>
        <w:tc>
          <w:tcPr>
            <w:tcW w:w="5608" w:type="dxa"/>
            <w:shd w:val="clear" w:color="auto" w:fill="D5DCE4" w:themeFill="text2" w:themeFillTint="33"/>
          </w:tcPr>
          <w:p w14:paraId="068111E3" w14:textId="77777777" w:rsidR="00784604" w:rsidRPr="00CB441B" w:rsidRDefault="00784604" w:rsidP="001D0725">
            <w:pPr>
              <w:rPr>
                <w:b/>
                <w:sz w:val="24"/>
                <w:szCs w:val="24"/>
              </w:rPr>
            </w:pPr>
            <w:r w:rsidRPr="00CB441B">
              <w:rPr>
                <w:b/>
                <w:sz w:val="24"/>
                <w:szCs w:val="24"/>
              </w:rPr>
              <w:t>Год</w:t>
            </w:r>
          </w:p>
        </w:tc>
        <w:tc>
          <w:tcPr>
            <w:tcW w:w="1275" w:type="dxa"/>
            <w:shd w:val="clear" w:color="auto" w:fill="D5DCE4" w:themeFill="text2" w:themeFillTint="33"/>
          </w:tcPr>
          <w:p w14:paraId="2097E924" w14:textId="77777777" w:rsidR="00784604" w:rsidRPr="00CB441B" w:rsidRDefault="00784604" w:rsidP="001D0725">
            <w:pPr>
              <w:rPr>
                <w:b/>
                <w:sz w:val="24"/>
                <w:szCs w:val="24"/>
              </w:rPr>
            </w:pPr>
            <w:r>
              <w:rPr>
                <w:b/>
                <w:sz w:val="24"/>
                <w:szCs w:val="24"/>
              </w:rPr>
              <w:t>2020</w:t>
            </w:r>
          </w:p>
        </w:tc>
        <w:tc>
          <w:tcPr>
            <w:tcW w:w="1134" w:type="dxa"/>
            <w:shd w:val="clear" w:color="auto" w:fill="D5DCE4" w:themeFill="text2" w:themeFillTint="33"/>
          </w:tcPr>
          <w:p w14:paraId="7ED7BBFA" w14:textId="77777777" w:rsidR="00784604" w:rsidRPr="00CB441B" w:rsidRDefault="00784604" w:rsidP="001D0725">
            <w:pPr>
              <w:rPr>
                <w:b/>
                <w:sz w:val="24"/>
                <w:szCs w:val="24"/>
              </w:rPr>
            </w:pPr>
            <w:r>
              <w:rPr>
                <w:b/>
                <w:sz w:val="24"/>
                <w:szCs w:val="24"/>
              </w:rPr>
              <w:t>2021</w:t>
            </w:r>
          </w:p>
        </w:tc>
        <w:tc>
          <w:tcPr>
            <w:tcW w:w="1134" w:type="dxa"/>
            <w:shd w:val="clear" w:color="auto" w:fill="D5DCE4" w:themeFill="text2" w:themeFillTint="33"/>
          </w:tcPr>
          <w:p w14:paraId="355364F9" w14:textId="77777777" w:rsidR="00784604" w:rsidRPr="0070357F" w:rsidRDefault="00784604" w:rsidP="001D0725">
            <w:pPr>
              <w:rPr>
                <w:b/>
                <w:sz w:val="24"/>
                <w:szCs w:val="24"/>
              </w:rPr>
            </w:pPr>
            <w:r w:rsidRPr="0070357F">
              <w:rPr>
                <w:b/>
                <w:sz w:val="24"/>
                <w:szCs w:val="24"/>
              </w:rPr>
              <w:t>2022</w:t>
            </w:r>
          </w:p>
        </w:tc>
      </w:tr>
      <w:tr w:rsidR="00784604" w14:paraId="68850977" w14:textId="77777777" w:rsidTr="001D0725">
        <w:trPr>
          <w:jc w:val="center"/>
        </w:trPr>
        <w:tc>
          <w:tcPr>
            <w:tcW w:w="5608" w:type="dxa"/>
          </w:tcPr>
          <w:p w14:paraId="7B452AFC" w14:textId="77777777" w:rsidR="00784604" w:rsidRDefault="00784604" w:rsidP="001D0725">
            <w:pPr>
              <w:rPr>
                <w:sz w:val="24"/>
                <w:szCs w:val="24"/>
              </w:rPr>
            </w:pPr>
            <w:r>
              <w:rPr>
                <w:sz w:val="24"/>
                <w:szCs w:val="24"/>
              </w:rPr>
              <w:t>Количество заявок</w:t>
            </w:r>
          </w:p>
        </w:tc>
        <w:tc>
          <w:tcPr>
            <w:tcW w:w="1275" w:type="dxa"/>
          </w:tcPr>
          <w:p w14:paraId="278EF0C5" w14:textId="77777777" w:rsidR="00784604" w:rsidRPr="0040674A" w:rsidRDefault="00784604" w:rsidP="001D0725">
            <w:pPr>
              <w:rPr>
                <w:sz w:val="24"/>
                <w:szCs w:val="24"/>
              </w:rPr>
            </w:pPr>
            <w:r>
              <w:rPr>
                <w:sz w:val="24"/>
                <w:szCs w:val="24"/>
              </w:rPr>
              <w:t>658</w:t>
            </w:r>
          </w:p>
        </w:tc>
        <w:tc>
          <w:tcPr>
            <w:tcW w:w="1134" w:type="dxa"/>
          </w:tcPr>
          <w:p w14:paraId="31B78CB6" w14:textId="77777777" w:rsidR="00784604" w:rsidRPr="0040674A" w:rsidRDefault="00784604" w:rsidP="001D0725">
            <w:pPr>
              <w:rPr>
                <w:sz w:val="24"/>
                <w:szCs w:val="24"/>
              </w:rPr>
            </w:pPr>
            <w:r>
              <w:rPr>
                <w:sz w:val="24"/>
                <w:szCs w:val="24"/>
              </w:rPr>
              <w:t>740</w:t>
            </w:r>
          </w:p>
        </w:tc>
        <w:tc>
          <w:tcPr>
            <w:tcW w:w="1134" w:type="dxa"/>
          </w:tcPr>
          <w:p w14:paraId="699DDF1B" w14:textId="77777777" w:rsidR="00784604" w:rsidRPr="0070357F" w:rsidRDefault="00784604" w:rsidP="001D0725">
            <w:pPr>
              <w:rPr>
                <w:sz w:val="24"/>
                <w:szCs w:val="24"/>
              </w:rPr>
            </w:pPr>
            <w:r w:rsidRPr="0070357F">
              <w:rPr>
                <w:sz w:val="24"/>
                <w:szCs w:val="24"/>
              </w:rPr>
              <w:t>798</w:t>
            </w:r>
          </w:p>
        </w:tc>
      </w:tr>
      <w:tr w:rsidR="00784604" w14:paraId="1993641D" w14:textId="77777777" w:rsidTr="001D0725">
        <w:trPr>
          <w:jc w:val="center"/>
        </w:trPr>
        <w:tc>
          <w:tcPr>
            <w:tcW w:w="5608" w:type="dxa"/>
            <w:shd w:val="clear" w:color="auto" w:fill="D5DCE4" w:themeFill="text2" w:themeFillTint="33"/>
          </w:tcPr>
          <w:p w14:paraId="52C90155" w14:textId="77777777" w:rsidR="00784604" w:rsidRDefault="00784604" w:rsidP="001D0725">
            <w:pPr>
              <w:rPr>
                <w:sz w:val="24"/>
                <w:szCs w:val="24"/>
              </w:rPr>
            </w:pPr>
            <w:r>
              <w:rPr>
                <w:sz w:val="24"/>
                <w:szCs w:val="24"/>
              </w:rPr>
              <w:t>Среднее количество заявок на 1 конкурентную процедуру</w:t>
            </w:r>
          </w:p>
        </w:tc>
        <w:tc>
          <w:tcPr>
            <w:tcW w:w="1275" w:type="dxa"/>
            <w:shd w:val="clear" w:color="auto" w:fill="D5DCE4" w:themeFill="text2" w:themeFillTint="33"/>
          </w:tcPr>
          <w:p w14:paraId="0444F153" w14:textId="77777777" w:rsidR="00784604" w:rsidRDefault="00784604" w:rsidP="001D0725">
            <w:pPr>
              <w:rPr>
                <w:sz w:val="24"/>
                <w:szCs w:val="24"/>
              </w:rPr>
            </w:pPr>
            <w:r>
              <w:rPr>
                <w:sz w:val="24"/>
                <w:szCs w:val="24"/>
              </w:rPr>
              <w:t>3,0</w:t>
            </w:r>
          </w:p>
          <w:p w14:paraId="63EAAFA7" w14:textId="77777777" w:rsidR="00784604" w:rsidRDefault="00784604" w:rsidP="001D0725">
            <w:pPr>
              <w:rPr>
                <w:sz w:val="24"/>
                <w:szCs w:val="24"/>
              </w:rPr>
            </w:pPr>
          </w:p>
        </w:tc>
        <w:tc>
          <w:tcPr>
            <w:tcW w:w="1134" w:type="dxa"/>
            <w:shd w:val="clear" w:color="auto" w:fill="D5DCE4" w:themeFill="text2" w:themeFillTint="33"/>
          </w:tcPr>
          <w:p w14:paraId="3D6183D8" w14:textId="77777777" w:rsidR="00784604" w:rsidRDefault="00784604" w:rsidP="001D0725">
            <w:pPr>
              <w:rPr>
                <w:sz w:val="24"/>
                <w:szCs w:val="24"/>
              </w:rPr>
            </w:pPr>
            <w:r>
              <w:rPr>
                <w:sz w:val="24"/>
                <w:szCs w:val="24"/>
              </w:rPr>
              <w:t>2,6</w:t>
            </w:r>
          </w:p>
        </w:tc>
        <w:tc>
          <w:tcPr>
            <w:tcW w:w="1134" w:type="dxa"/>
            <w:shd w:val="clear" w:color="auto" w:fill="D5DCE4" w:themeFill="text2" w:themeFillTint="33"/>
          </w:tcPr>
          <w:p w14:paraId="610BB7B4" w14:textId="77777777" w:rsidR="00784604" w:rsidRPr="0070357F" w:rsidRDefault="00784604" w:rsidP="001D0725">
            <w:pPr>
              <w:rPr>
                <w:sz w:val="24"/>
                <w:szCs w:val="24"/>
              </w:rPr>
            </w:pPr>
            <w:r w:rsidRPr="0070357F">
              <w:rPr>
                <w:sz w:val="24"/>
                <w:szCs w:val="24"/>
              </w:rPr>
              <w:t>3,0</w:t>
            </w:r>
          </w:p>
        </w:tc>
      </w:tr>
    </w:tbl>
    <w:p w14:paraId="46745958" w14:textId="77777777" w:rsidR="00784604" w:rsidRDefault="00784604" w:rsidP="00784604">
      <w:pPr>
        <w:jc w:val="both"/>
      </w:pPr>
    </w:p>
    <w:p w14:paraId="78945045" w14:textId="77777777" w:rsidR="00784604" w:rsidRPr="0070357F" w:rsidRDefault="00784604" w:rsidP="00784604">
      <w:pPr>
        <w:shd w:val="clear" w:color="auto" w:fill="FFFFFF"/>
        <w:ind w:firstLine="708"/>
        <w:jc w:val="both"/>
      </w:pPr>
      <w:r>
        <w:t>Оказывают влияние на уровень конкуренции ограничения, связанные с особым правовым статусом закрытого административно-территориального образования (ЗАТО) города Снежинска, а именно, д</w:t>
      </w:r>
      <w:r w:rsidRPr="0070357F">
        <w:t>лительные сроки и сложность оформления пропусков для граждан нерезидентов ЗАТО.</w:t>
      </w:r>
    </w:p>
    <w:p w14:paraId="6CD855F5" w14:textId="77777777" w:rsidR="00784604" w:rsidRDefault="00784604" w:rsidP="00784604">
      <w:pPr>
        <w:autoSpaceDN w:val="0"/>
        <w:adjustRightInd w:val="0"/>
        <w:ind w:firstLine="708"/>
        <w:jc w:val="both"/>
      </w:pPr>
      <w:r>
        <w:t xml:space="preserve">В </w:t>
      </w:r>
      <w:r w:rsidRPr="009C3F81">
        <w:t>соответствии с требованиями ст.</w:t>
      </w:r>
      <w:r>
        <w:t xml:space="preserve"> </w:t>
      </w:r>
      <w:r w:rsidRPr="009C3F81">
        <w:t xml:space="preserve">30 Закона о контрактной системе </w:t>
      </w:r>
      <w:r>
        <w:t xml:space="preserve">в </w:t>
      </w:r>
      <w:r w:rsidRPr="001D407D">
        <w:t xml:space="preserve"> </w:t>
      </w:r>
      <w:r>
        <w:t xml:space="preserve"> целях поддержки </w:t>
      </w:r>
      <w:r w:rsidRPr="001D407D">
        <w:t>субъектов малого предпринимательства, социально ориентированных некоммерческих организаций</w:t>
      </w:r>
      <w:r>
        <w:t xml:space="preserve"> (далее – СМП и СОНКО) заказчики обязаны </w:t>
      </w:r>
      <w:r w:rsidRPr="001D407D">
        <w:t xml:space="preserve">осуществлять закупки в объеме </w:t>
      </w:r>
      <w:r w:rsidRPr="0009472E">
        <w:rPr>
          <w:b/>
        </w:rPr>
        <w:t>не менее чем 25%</w:t>
      </w:r>
      <w:r w:rsidRPr="001D407D">
        <w:t xml:space="preserve"> совокупного годового объема закупок</w:t>
      </w:r>
      <w:r>
        <w:t>.</w:t>
      </w:r>
    </w:p>
    <w:p w14:paraId="4266919D" w14:textId="77777777" w:rsidR="00784604" w:rsidRDefault="00784604" w:rsidP="00784604">
      <w:pPr>
        <w:ind w:firstLine="708"/>
        <w:jc w:val="both"/>
      </w:pPr>
      <w:r>
        <w:t xml:space="preserve">В Снежинском городском округе объем закупок у СМП и СОНКО ежегодно </w:t>
      </w:r>
      <w:r w:rsidRPr="00B90F84">
        <w:t xml:space="preserve">превышает этот показатель. В 2022 году проведено закупок у СМП и СОНКО на сумму 253 млн руб., что составляет 41,4 % от суммы всех закупок, по которым были заключены контракты.  (см. Диаграмму </w:t>
      </w:r>
      <w:r>
        <w:t>1</w:t>
      </w:r>
      <w:r w:rsidRPr="00B90F84">
        <w:t>.</w:t>
      </w:r>
      <w:r>
        <w:t>4</w:t>
      </w:r>
      <w:r w:rsidRPr="00B90F84">
        <w:t>).</w:t>
      </w:r>
    </w:p>
    <w:p w14:paraId="73ED0661" w14:textId="77777777" w:rsidR="00784604" w:rsidRDefault="00784604" w:rsidP="00784604">
      <w:pPr>
        <w:jc w:val="both"/>
        <w:rPr>
          <w:b/>
        </w:rPr>
      </w:pPr>
    </w:p>
    <w:p w14:paraId="671AA8FA" w14:textId="77777777" w:rsidR="00784604" w:rsidRPr="00487AED" w:rsidRDefault="00784604" w:rsidP="00784604">
      <w:pPr>
        <w:jc w:val="center"/>
        <w:rPr>
          <w:b/>
        </w:rPr>
      </w:pPr>
      <w:r w:rsidRPr="00487AED">
        <w:rPr>
          <w:b/>
        </w:rPr>
        <w:t xml:space="preserve">Диаграмма </w:t>
      </w:r>
      <w:r>
        <w:rPr>
          <w:b/>
        </w:rPr>
        <w:t>1</w:t>
      </w:r>
      <w:r w:rsidRPr="00487AED">
        <w:rPr>
          <w:b/>
        </w:rPr>
        <w:t>.</w:t>
      </w:r>
      <w:r>
        <w:rPr>
          <w:b/>
        </w:rPr>
        <w:t>4</w:t>
      </w:r>
      <w:r w:rsidRPr="00487AED">
        <w:rPr>
          <w:b/>
        </w:rPr>
        <w:t>. Закупки, проведенные для СМП и СОНКО</w:t>
      </w:r>
    </w:p>
    <w:p w14:paraId="04D174D6" w14:textId="77777777" w:rsidR="00784604" w:rsidRDefault="00784604" w:rsidP="00784604">
      <w:pPr>
        <w:autoSpaceDN w:val="0"/>
        <w:adjustRightInd w:val="0"/>
        <w:jc w:val="both"/>
        <w:outlineLvl w:val="0"/>
      </w:pPr>
      <w:r>
        <w:t xml:space="preserve">       </w:t>
      </w:r>
      <w:r w:rsidRPr="000110D5">
        <w:rPr>
          <w:noProof/>
          <w:lang w:eastAsia="ru-RU"/>
        </w:rPr>
        <w:drawing>
          <wp:inline distT="0" distB="0" distL="0" distR="0" wp14:anchorId="586A2078" wp14:editId="7A6C7FEB">
            <wp:extent cx="5599347" cy="3673503"/>
            <wp:effectExtent l="19050" t="0" r="20403" b="3147"/>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7BEC70" w14:textId="77777777" w:rsidR="00784604" w:rsidRDefault="00784604" w:rsidP="00784604">
      <w:pPr>
        <w:ind w:firstLine="708"/>
        <w:jc w:val="both"/>
      </w:pPr>
      <w:r>
        <w:lastRenderedPageBreak/>
        <w:t>В 2022 году объем закупок у СМП и СОНКО снизился на 9,2 % по сравнению с 2021 годом, и на 21,6 % по сравнению с 2020 годом.</w:t>
      </w:r>
    </w:p>
    <w:p w14:paraId="172A7575" w14:textId="77777777" w:rsidR="00784604" w:rsidRDefault="00784604" w:rsidP="00784604">
      <w:pPr>
        <w:autoSpaceDN w:val="0"/>
        <w:adjustRightInd w:val="0"/>
        <w:ind w:firstLine="708"/>
        <w:jc w:val="both"/>
      </w:pPr>
      <w:r>
        <w:t xml:space="preserve">Снижение данного показателя объясняется особенностями расчета объема закупок у СМП и СОНКО, установленными законом о контрактной системе,  в том числе, согласно которым не учитываются при расчете доли закупок у СМП и СОНКО крупные закупки </w:t>
      </w:r>
      <w:r>
        <w:rPr>
          <w:szCs w:val="28"/>
        </w:rPr>
        <w:t xml:space="preserve">начальная (максимальная) цена контракта которых, превышает двадцать млн руб., например, такие как  </w:t>
      </w:r>
      <w:r>
        <w:t>в</w:t>
      </w:r>
      <w:r w:rsidRPr="0075203B">
        <w:t>ыполнение работ по организации регулярных пассажироперевозок населения городским транспортом общего пользования по регулируемым тарифам на внутримуниципальных маршрутах (21,8</w:t>
      </w:r>
      <w:r>
        <w:t xml:space="preserve"> </w:t>
      </w:r>
      <w:r w:rsidRPr="0075203B">
        <w:t>млн руб</w:t>
      </w:r>
      <w:r>
        <w:t>.</w:t>
      </w:r>
      <w:r w:rsidRPr="0075203B">
        <w:t xml:space="preserve">), </w:t>
      </w:r>
      <w:r>
        <w:t>в</w:t>
      </w:r>
      <w:r w:rsidRPr="0075203B">
        <w:t>ыполнение работ по ремонту участков автодорог Снежинского городского округа (25,9</w:t>
      </w:r>
      <w:r>
        <w:t xml:space="preserve"> млн руб.</w:t>
      </w:r>
      <w:r w:rsidRPr="0075203B">
        <w:t xml:space="preserve">), </w:t>
      </w:r>
      <w:r>
        <w:t>с</w:t>
      </w:r>
      <w:r w:rsidRPr="0075203B">
        <w:t>троительство многоквартирного жилого дома в г. Снежинске (198 млн руб</w:t>
      </w:r>
      <w:r>
        <w:t>.</w:t>
      </w:r>
      <w:r w:rsidRPr="0075203B">
        <w:t xml:space="preserve">), </w:t>
      </w:r>
      <w:r w:rsidRPr="002C7C6E">
        <w:t>капитальный ремонт футбольной трибуны на стадионе им. Ю.А. Гагарина (37</w:t>
      </w:r>
      <w:r>
        <w:t>,</w:t>
      </w:r>
      <w:r w:rsidRPr="002C7C6E">
        <w:t>3 млн руб.)</w:t>
      </w:r>
      <w:r>
        <w:t xml:space="preserve"> и пр.</w:t>
      </w:r>
    </w:p>
    <w:p w14:paraId="52E8CB37" w14:textId="77777777" w:rsidR="00784604" w:rsidRDefault="00784604" w:rsidP="00784604">
      <w:pPr>
        <w:autoSpaceDN w:val="0"/>
        <w:adjustRightInd w:val="0"/>
        <w:ind w:firstLine="708"/>
        <w:jc w:val="both"/>
      </w:pPr>
      <w:r w:rsidRPr="003E1B25">
        <w:t>2022 год стал одним из самых сложных этапов функционирования контрактной системы и муниципальных закупок. Наряду с электронизацией и оптимизацией заказчики и</w:t>
      </w:r>
      <w:r>
        <w:t xml:space="preserve"> </w:t>
      </w:r>
      <w:r w:rsidRPr="003E1B25">
        <w:t>поставщики столкнулись в</w:t>
      </w:r>
      <w:r>
        <w:t xml:space="preserve"> </w:t>
      </w:r>
      <w:r w:rsidRPr="003E1B25">
        <w:t>этом году с последствиями введения санкций и</w:t>
      </w:r>
      <w:r>
        <w:t xml:space="preserve"> </w:t>
      </w:r>
      <w:r w:rsidRPr="003E1B25">
        <w:t>ограничительных мер недружественными государствами в</w:t>
      </w:r>
      <w:r>
        <w:t xml:space="preserve"> </w:t>
      </w:r>
      <w:r w:rsidRPr="003E1B25">
        <w:t>виде роста цен и </w:t>
      </w:r>
      <w:r>
        <w:t xml:space="preserve">снижения </w:t>
      </w:r>
      <w:r w:rsidRPr="003E1B25">
        <w:t>конкуренции среди поставщиков (подрядчиков, исполнителей).</w:t>
      </w:r>
    </w:p>
    <w:p w14:paraId="47C8E249" w14:textId="77777777" w:rsidR="00784604" w:rsidRPr="003E1B25" w:rsidRDefault="00784604" w:rsidP="00784604">
      <w:pPr>
        <w:autoSpaceDN w:val="0"/>
        <w:adjustRightInd w:val="0"/>
        <w:ind w:firstLine="708"/>
        <w:jc w:val="both"/>
      </w:pPr>
      <w:r w:rsidRPr="003E1B25">
        <w:t xml:space="preserve">Анализ практики закупок </w:t>
      </w:r>
      <w:r>
        <w:t>муниципальных</w:t>
      </w:r>
      <w:r w:rsidRPr="003E1B25">
        <w:t xml:space="preserve"> учреждений показал следующие результаты:</w:t>
      </w:r>
    </w:p>
    <w:p w14:paraId="009DD42E" w14:textId="77777777" w:rsidR="00784604" w:rsidRDefault="00784604" w:rsidP="00784604">
      <w:pPr>
        <w:numPr>
          <w:ilvl w:val="0"/>
          <w:numId w:val="2"/>
        </w:numPr>
        <w:tabs>
          <w:tab w:val="clear" w:pos="720"/>
        </w:tabs>
        <w:suppressAutoHyphens w:val="0"/>
        <w:overflowPunct/>
        <w:autoSpaceDE/>
        <w:spacing w:before="100" w:beforeAutospacing="1" w:after="100" w:afterAutospacing="1"/>
        <w:ind w:left="0" w:firstLine="709"/>
        <w:jc w:val="both"/>
        <w:textAlignment w:val="auto"/>
      </w:pPr>
      <w:r w:rsidRPr="003E1B25">
        <w:t>возможность заключения контракта с единственным поставщиком, определенным Правительством РФ</w:t>
      </w:r>
      <w:r>
        <w:t xml:space="preserve"> </w:t>
      </w:r>
      <w:r w:rsidRPr="003E1B25">
        <w:t>или</w:t>
      </w:r>
      <w:r>
        <w:t xml:space="preserve"> </w:t>
      </w:r>
      <w:r w:rsidRPr="003E1B25">
        <w:t>органом власти субъекта РФ на</w:t>
      </w:r>
      <w:r>
        <w:t xml:space="preserve"> </w:t>
      </w:r>
      <w:r w:rsidRPr="003E1B25">
        <w:t>основании статьи 15</w:t>
      </w:r>
      <w:r>
        <w:t xml:space="preserve"> </w:t>
      </w:r>
      <w:r w:rsidRPr="003E1B25">
        <w:t>закона от</w:t>
      </w:r>
      <w:r>
        <w:t xml:space="preserve"> </w:t>
      </w:r>
      <w:r w:rsidRPr="003E1B25">
        <w:t>08.03.2022 г.</w:t>
      </w:r>
      <w:r>
        <w:t xml:space="preserve"> </w:t>
      </w:r>
      <w:r w:rsidRPr="003E1B25">
        <w:t>№</w:t>
      </w:r>
      <w:r>
        <w:t xml:space="preserve"> </w:t>
      </w:r>
      <w:r w:rsidRPr="003E1B25">
        <w:t>46-ФЗ</w:t>
      </w:r>
      <w:r>
        <w:t xml:space="preserve"> (</w:t>
      </w:r>
      <w:r w:rsidRPr="00EA2929">
        <w:t xml:space="preserve">Постановление Правительства Челябинской области от 11.03.2022 </w:t>
      </w:r>
      <w:r>
        <w:t>№</w:t>
      </w:r>
      <w:r w:rsidRPr="00EA2929">
        <w:t xml:space="preserve">129-П </w:t>
      </w:r>
      <w:r>
        <w:t>«</w:t>
      </w:r>
      <w:r w:rsidRPr="00EA2929">
        <w:t>Об иных случаях осуществления закупок товаров, работ, услуг для государственных нужд у единственного поставщика (подрядчика, исполнителя) в целях обеспечения нужд Челябинской области</w:t>
      </w:r>
      <w:r>
        <w:t>….)</w:t>
      </w:r>
      <w:r w:rsidRPr="003E1B25">
        <w:t xml:space="preserve">, используется в редких случаях; </w:t>
      </w:r>
    </w:p>
    <w:p w14:paraId="41E18B07" w14:textId="77777777" w:rsidR="00784604" w:rsidRPr="003E1B25" w:rsidRDefault="00784604" w:rsidP="00784604">
      <w:pPr>
        <w:numPr>
          <w:ilvl w:val="0"/>
          <w:numId w:val="2"/>
        </w:numPr>
        <w:tabs>
          <w:tab w:val="clear" w:pos="720"/>
        </w:tabs>
        <w:suppressAutoHyphens w:val="0"/>
        <w:overflowPunct/>
        <w:autoSpaceDE/>
        <w:spacing w:before="100" w:beforeAutospacing="1" w:after="100" w:afterAutospacing="1"/>
        <w:ind w:left="0" w:firstLine="709"/>
        <w:jc w:val="both"/>
        <w:textAlignment w:val="auto"/>
      </w:pPr>
      <w:r w:rsidRPr="003E1B25">
        <w:t>заказчики не</w:t>
      </w:r>
      <w:r>
        <w:t xml:space="preserve"> в полной мере </w:t>
      </w:r>
      <w:r w:rsidRPr="003E1B25">
        <w:t>используют предоставленные им возможности для более быстрого осуществления закупок с использованием электронных запросов котировок;</w:t>
      </w:r>
    </w:p>
    <w:p w14:paraId="049F6CBB" w14:textId="77777777" w:rsidR="00784604" w:rsidRPr="003E1B25" w:rsidRDefault="00784604" w:rsidP="00784604">
      <w:pPr>
        <w:numPr>
          <w:ilvl w:val="0"/>
          <w:numId w:val="2"/>
        </w:numPr>
        <w:tabs>
          <w:tab w:val="clear" w:pos="720"/>
        </w:tabs>
        <w:suppressAutoHyphens w:val="0"/>
        <w:overflowPunct/>
        <w:autoSpaceDE/>
        <w:spacing w:before="100" w:beforeAutospacing="1" w:after="100" w:afterAutospacing="1"/>
        <w:ind w:left="0" w:firstLine="709"/>
        <w:jc w:val="both"/>
        <w:textAlignment w:val="auto"/>
      </w:pPr>
      <w:r w:rsidRPr="003E1B25">
        <w:t>проблема несостоявшихся закупок без участников или с единственным участником стала еще более актуальной в 2022 году</w:t>
      </w:r>
      <w:r>
        <w:t xml:space="preserve">; </w:t>
      </w:r>
    </w:p>
    <w:p w14:paraId="731AF110" w14:textId="77777777" w:rsidR="00784604" w:rsidRDefault="00784604" w:rsidP="00784604">
      <w:pPr>
        <w:numPr>
          <w:ilvl w:val="0"/>
          <w:numId w:val="2"/>
        </w:numPr>
        <w:tabs>
          <w:tab w:val="clear" w:pos="720"/>
        </w:tabs>
        <w:suppressAutoHyphens w:val="0"/>
        <w:overflowPunct/>
        <w:autoSpaceDE/>
        <w:spacing w:before="100" w:beforeAutospacing="1" w:after="100" w:afterAutospacing="1"/>
        <w:ind w:left="0" w:firstLine="709"/>
        <w:jc w:val="both"/>
        <w:textAlignment w:val="auto"/>
      </w:pPr>
      <w:r w:rsidRPr="003E1B25">
        <w:t>соглашения</w:t>
      </w:r>
      <w:r>
        <w:t xml:space="preserve"> </w:t>
      </w:r>
      <w:r w:rsidRPr="003E1B25">
        <w:t>об</w:t>
      </w:r>
      <w:r>
        <w:t xml:space="preserve"> </w:t>
      </w:r>
      <w:r w:rsidRPr="003E1B25">
        <w:t>изменении существенных условий контрактов используются в редких случаях, в основном, в сфере строительства.</w:t>
      </w:r>
    </w:p>
    <w:p w14:paraId="6B9ED651" w14:textId="77777777" w:rsidR="00784604" w:rsidRDefault="00784604" w:rsidP="00784604">
      <w:pPr>
        <w:ind w:firstLine="720"/>
        <w:jc w:val="both"/>
      </w:pPr>
      <w:r w:rsidRPr="00B9666D">
        <w:t>В целях развития конкуренции и стимулирования предпринимательской активности перед муниципальными заказчиками Снежинского городского округа на 2023 год и последующие годы поставлены задачи по повышению эффективности использования бюджетных средств при проведении закупок, увеличению числа закупок, проводимых конкурентными способами, увеличение доли закупок российских товаров.</w:t>
      </w:r>
    </w:p>
    <w:p w14:paraId="1D56DCE0" w14:textId="77777777" w:rsidR="00305406" w:rsidRDefault="00784604" w:rsidP="00305406">
      <w:pPr>
        <w:ind w:firstLine="720"/>
        <w:jc w:val="both"/>
      </w:pPr>
      <w:r>
        <w:lastRenderedPageBreak/>
        <w:t xml:space="preserve">Подводя итоги, можно сказать, что муниципальные заказчики Снежинского городского округа достаточно </w:t>
      </w:r>
      <w:r w:rsidRPr="006D3FBA">
        <w:t>эффективно осуществля</w:t>
      </w:r>
      <w:r>
        <w:t xml:space="preserve">ли </w:t>
      </w:r>
      <w:r w:rsidRPr="006D3FBA">
        <w:t>закупки для обеспечения муниципальных нужд</w:t>
      </w:r>
      <w:r>
        <w:t>.</w:t>
      </w:r>
    </w:p>
    <w:p w14:paraId="6AE92CF1" w14:textId="4C2E0A88" w:rsidR="0078355C" w:rsidRDefault="00784604" w:rsidP="00305406">
      <w:pPr>
        <w:ind w:firstLine="720"/>
        <w:jc w:val="both"/>
      </w:pPr>
      <w:r>
        <w:t>В</w:t>
      </w:r>
      <w:r w:rsidRPr="00F0369F">
        <w:t> условиях действия санкций и ограничительных мер,</w:t>
      </w:r>
      <w:r>
        <w:t xml:space="preserve"> </w:t>
      </w:r>
      <w:r w:rsidRPr="00F0369F">
        <w:t>работник</w:t>
      </w:r>
      <w:r>
        <w:t xml:space="preserve">и и руководители уполномоченных органов, </w:t>
      </w:r>
      <w:r w:rsidRPr="00F0369F">
        <w:t>контрактн</w:t>
      </w:r>
      <w:r>
        <w:t>ых</w:t>
      </w:r>
      <w:r w:rsidRPr="00F0369F">
        <w:t xml:space="preserve"> служб </w:t>
      </w:r>
      <w:r>
        <w:t xml:space="preserve">показали </w:t>
      </w:r>
      <w:r w:rsidRPr="00F0369F">
        <w:t>профессионализм, ответственность и</w:t>
      </w:r>
      <w:r>
        <w:t xml:space="preserve"> </w:t>
      </w:r>
      <w:r w:rsidRPr="00F0369F">
        <w:t>стойкость, неформальное отношение к </w:t>
      </w:r>
      <w:r>
        <w:t xml:space="preserve">своим обязанностям, умение </w:t>
      </w:r>
      <w:r w:rsidRPr="00F0369F">
        <w:t>помогать и поддерживать друг друга в сложных экономических условиях. </w:t>
      </w:r>
    </w:p>
    <w:sectPr w:rsidR="00783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94E"/>
    <w:multiLevelType w:val="multilevel"/>
    <w:tmpl w:val="7ADC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F4B6E"/>
    <w:multiLevelType w:val="multilevel"/>
    <w:tmpl w:val="E9D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139266">
    <w:abstractNumId w:val="1"/>
  </w:num>
  <w:num w:numId="2" w16cid:durableId="111201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04"/>
    <w:rsid w:val="0001384D"/>
    <w:rsid w:val="001B7966"/>
    <w:rsid w:val="002B6336"/>
    <w:rsid w:val="00305406"/>
    <w:rsid w:val="00563827"/>
    <w:rsid w:val="006D2C04"/>
    <w:rsid w:val="00784604"/>
    <w:rsid w:val="00F2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477B"/>
  <w15:chartTrackingRefBased/>
  <w15:docId w15:val="{18B5B131-C4BF-4F7C-A4D4-ADEB5D7B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604"/>
    <w:pPr>
      <w:suppressAutoHyphens/>
      <w:overflowPunct w:val="0"/>
      <w:autoSpaceDE w:val="0"/>
      <w:spacing w:after="0" w:line="240" w:lineRule="auto"/>
      <w:textAlignment w:val="baseline"/>
    </w:pPr>
    <w:rPr>
      <w:rFonts w:ascii="Times New Roman" w:eastAsia="Times New Roman" w:hAnsi="Times New Roman" w:cs="Times New Roman"/>
      <w:kern w:val="0"/>
      <w:sz w:val="28"/>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84604"/>
    <w:pPr>
      <w:overflowPunct/>
      <w:autoSpaceDE/>
      <w:textAlignment w:val="auto"/>
    </w:pPr>
    <w:rPr>
      <w:szCs w:val="24"/>
    </w:rPr>
  </w:style>
  <w:style w:type="character" w:customStyle="1" w:styleId="a4">
    <w:name w:val="Основной текст Знак"/>
    <w:basedOn w:val="a0"/>
    <w:link w:val="a3"/>
    <w:uiPriority w:val="99"/>
    <w:rsid w:val="00784604"/>
    <w:rPr>
      <w:rFonts w:ascii="Times New Roman" w:eastAsia="Times New Roman" w:hAnsi="Times New Roman" w:cs="Times New Roman"/>
      <w:kern w:val="0"/>
      <w:sz w:val="28"/>
      <w:szCs w:val="24"/>
      <w:lang w:eastAsia="zh-CN"/>
      <w14:ligatures w14:val="none"/>
    </w:rPr>
  </w:style>
  <w:style w:type="table" w:styleId="a5">
    <w:name w:val="Table Grid"/>
    <w:basedOn w:val="a1"/>
    <w:uiPriority w:val="59"/>
    <w:rsid w:val="00784604"/>
    <w:pPr>
      <w:spacing w:after="0" w:line="240" w:lineRule="auto"/>
    </w:pPr>
    <w:rPr>
      <w:rFonts w:ascii="Times New Roman" w:eastAsia="Times New Roman" w:hAnsi="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4604"/>
    <w:pPr>
      <w:suppressAutoHyphens w:val="0"/>
      <w:overflowPunct/>
      <w:autoSpaceDE/>
      <w:spacing w:after="160" w:line="259" w:lineRule="auto"/>
      <w:ind w:left="720"/>
      <w:contextualSpacing/>
      <w:textAlignment w:val="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nzad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chart" Target="charts/chart4.xml"/><Relationship Id="rId5" Type="http://schemas.openxmlformats.org/officeDocument/2006/relationships/hyperlink" Target="consultantplus://offline/ref=D7FAFC542E3685857307316657EAC126968FDA778E3442C8110F8BCA40FF4CB0CC9A92533491E803CA516743B50BCF5B664EAD81093525BDs0VBE"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Заключено всего контрактов, млн руб.</c:v>
                </c:pt>
              </c:strCache>
            </c:strRef>
          </c:tx>
          <c:spPr>
            <a:solidFill>
              <a:schemeClr val="accent1"/>
            </a:solidFill>
            <a:ln>
              <a:noFill/>
            </a:ln>
            <a:effectLst/>
            <a:sp3d/>
          </c:spPr>
          <c:invertIfNegative val="0"/>
          <c:dLbls>
            <c:dLbl>
              <c:idx val="0"/>
              <c:layout>
                <c:manualLayout>
                  <c:x val="-3.3263613293669624E-4"/>
                  <c:y val="-4.69588648531664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2D-4016-892A-EC7C443FFC7A}"/>
                </c:ext>
              </c:extLst>
            </c:dLbl>
            <c:dLbl>
              <c:idx val="1"/>
              <c:layout>
                <c:manualLayout>
                  <c:x val="-3.3263613293661731E-4"/>
                  <c:y val="-4.69588648531664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2D-4016-892A-EC7C443FFC7A}"/>
                </c:ext>
              </c:extLst>
            </c:dLbl>
            <c:dLbl>
              <c:idx val="2"/>
              <c:layout>
                <c:manualLayout>
                  <c:x val="-3.3263613293677441E-4"/>
                  <c:y val="-7.597175219920438E-3"/>
                </c:manualLayout>
              </c:layout>
              <c:tx>
                <c:rich>
                  <a:bodyPr/>
                  <a:lstStyle/>
                  <a:p>
                    <a:r>
                      <a:rPr lang="en-US"/>
                      <a:t>998,9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C2D-4016-892A-EC7C443FFC7A}"/>
                </c:ext>
              </c:extLst>
            </c:dLbl>
            <c:dLbl>
              <c:idx val="3"/>
              <c:layout>
                <c:manualLayout>
                  <c:x val="-1.5677709500843621E-16"/>
                  <c:y val="-4.26166631152783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D-4016-892A-EC7C443FFC7A}"/>
                </c:ext>
              </c:extLst>
            </c:dLbl>
            <c:dLbl>
              <c:idx val="4"/>
              <c:layout>
                <c:manualLayout>
                  <c:x val="0"/>
                  <c:y val="-8.5233326230556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2D-4016-892A-EC7C443FFC7A}"/>
                </c:ext>
              </c:extLst>
            </c:dLbl>
            <c:numFmt formatCode="General" sourceLinked="0"/>
            <c:spPr>
              <a:noFill/>
              <a:ln>
                <a:noFill/>
              </a:ln>
              <a:effectLst/>
            </c:spPr>
            <c:txPr>
              <a:bodyPr rot="0" spcFirstLastPara="1" vertOverflow="overflow" horzOverflow="overflow" vert="horz" wrap="square" lIns="38100" tIns="19050" rIns="38100" bIns="19050" anchor="t"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Лист1!$B$2:$B$4</c:f>
              <c:numCache>
                <c:formatCode>General</c:formatCode>
                <c:ptCount val="3"/>
                <c:pt idx="0">
                  <c:v>649.9</c:v>
                </c:pt>
                <c:pt idx="1">
                  <c:v>712.3</c:v>
                </c:pt>
                <c:pt idx="2">
                  <c:v>999</c:v>
                </c:pt>
              </c:numCache>
            </c:numRef>
          </c:val>
          <c:extLst>
            <c:ext xmlns:c16="http://schemas.microsoft.com/office/drawing/2014/chart" uri="{C3380CC4-5D6E-409C-BE32-E72D297353CC}">
              <c16:uniqueId val="{00000005-3C2D-4016-892A-EC7C443FFC7A}"/>
            </c:ext>
          </c:extLst>
        </c:ser>
        <c:ser>
          <c:idx val="1"/>
          <c:order val="1"/>
          <c:tx>
            <c:strRef>
              <c:f>Лист1!$C$1</c:f>
              <c:strCache>
                <c:ptCount val="1"/>
                <c:pt idx="0">
                  <c:v>Заключено контрактов по результатам конкурентных процедур, млн руб.</c:v>
                </c:pt>
              </c:strCache>
            </c:strRef>
          </c:tx>
          <c:spPr>
            <a:solidFill>
              <a:schemeClr val="accent2"/>
            </a:solidFill>
            <a:ln>
              <a:noFill/>
            </a:ln>
            <a:effectLst/>
            <a:sp3d/>
          </c:spPr>
          <c:invertIfNegative val="0"/>
          <c:dLbls>
            <c:dLbl>
              <c:idx val="0"/>
              <c:layout>
                <c:manualLayout>
                  <c:x val="-3.8801937571810927E-4"/>
                  <c:y val="-2.1742551731427827E-2"/>
                </c:manualLayout>
              </c:layout>
              <c:tx>
                <c:rich>
                  <a:bodyPr/>
                  <a:lstStyle/>
                  <a:p>
                    <a:fld id="{00231A8E-5195-42FD-95BC-DB86957922AF}" type="VALUE">
                      <a:rPr lang="en-US"/>
                      <a:pPr/>
                      <a:t>[ЗНАЧЕНИЕ]</a:t>
                    </a:fld>
                    <a:r>
                      <a:rPr lang="en-US"/>
                      <a:t>; 45,4%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C2D-4016-892A-EC7C443FFC7A}"/>
                </c:ext>
              </c:extLst>
            </c:dLbl>
            <c:dLbl>
              <c:idx val="1"/>
              <c:layout>
                <c:manualLayout>
                  <c:x val="-3.8801937571814879E-4"/>
                  <c:y val="-2.2898235099687851E-2"/>
                </c:manualLayout>
              </c:layout>
              <c:tx>
                <c:rich>
                  <a:bodyPr/>
                  <a:lstStyle/>
                  <a:p>
                    <a:fld id="{E0014C05-E1E1-44E6-986B-4456BEF1D79E}" type="VALUE">
                      <a:rPr lang="en-US"/>
                      <a:pPr/>
                      <a:t>[ЗНАЧЕНИЕ]</a:t>
                    </a:fld>
                    <a:r>
                      <a:rPr lang="en-US"/>
                      <a:t>; 50,7%</a:t>
                    </a:r>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3C2D-4016-892A-EC7C443FFC7A}"/>
                </c:ext>
              </c:extLst>
            </c:dLbl>
            <c:dLbl>
              <c:idx val="2"/>
              <c:layout>
                <c:manualLayout>
                  <c:x val="-2.6366800355194231E-3"/>
                  <c:y val="-1.9919431017212851E-2"/>
                </c:manualLayout>
              </c:layout>
              <c:tx>
                <c:rich>
                  <a:bodyPr/>
                  <a:lstStyle/>
                  <a:p>
                    <a:fld id="{123DC130-1944-49CA-A1C6-33434F6EF866}" type="VALUE">
                      <a:rPr lang="en-US"/>
                      <a:pPr/>
                      <a:t>[ЗНАЧЕНИЕ]</a:t>
                    </a:fld>
                    <a:r>
                      <a:rPr lang="en-US"/>
                      <a:t>; 56,3%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C2D-4016-892A-EC7C443FFC7A}"/>
                </c:ext>
              </c:extLst>
            </c:dLbl>
            <c:dLbl>
              <c:idx val="3"/>
              <c:layout>
                <c:manualLayout>
                  <c:x val="-2.1378941742383802E-3"/>
                  <c:y val="-2.5569997869166895E-2"/>
                </c:manualLayout>
              </c:layout>
              <c:tx>
                <c:rich>
                  <a:bodyPr/>
                  <a:lstStyle/>
                  <a:p>
                    <a:fld id="{99BD5F89-7226-4D80-BE4A-AB3FFDB4BD8E}" type="VALUE">
                      <a:rPr lang="en-US"/>
                      <a:pPr/>
                      <a:t>[ЗНАЧЕНИЕ]</a:t>
                    </a:fld>
                    <a:r>
                      <a:rPr lang="en-US"/>
                      <a:t>; 45,4%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C2D-4016-892A-EC7C443FFC7A}"/>
                </c:ext>
              </c:extLst>
            </c:dLbl>
            <c:dLbl>
              <c:idx val="4"/>
              <c:layout>
                <c:manualLayout>
                  <c:x val="-2.1378941742383802E-3"/>
                  <c:y val="-2.130833155763914E-2"/>
                </c:manualLayout>
              </c:layout>
              <c:tx>
                <c:rich>
                  <a:bodyPr/>
                  <a:lstStyle/>
                  <a:p>
                    <a:fld id="{9948CB21-BF24-4BCE-BD00-757759BA392E}" type="VALUE">
                      <a:rPr lang="en-US"/>
                      <a:pPr/>
                      <a:t>[ЗНАЧЕНИЕ]</a:t>
                    </a:fld>
                    <a:r>
                      <a:rPr lang="en-US"/>
                      <a:t>; 50,7%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C2D-4016-892A-EC7C443FFC7A}"/>
                </c:ext>
              </c:extLst>
            </c:dLbl>
            <c:numFmt formatCode="General" sourceLinked="0"/>
            <c:spPr>
              <a:noFill/>
              <a:ln>
                <a:noFill/>
              </a:ln>
              <a:effectLst/>
            </c:spPr>
            <c:txPr>
              <a:bodyPr rot="0" spcFirstLastPara="1" vertOverflow="ellipsis" vert="horz" wrap="square" lIns="38100" tIns="19050" rIns="38100" bIns="19050" anchor="ctr" anchorCtr="0">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Лист1!$C$2:$C$4</c:f>
              <c:numCache>
                <c:formatCode>General</c:formatCode>
                <c:ptCount val="3"/>
                <c:pt idx="0">
                  <c:v>295.3</c:v>
                </c:pt>
                <c:pt idx="1">
                  <c:v>361.2</c:v>
                </c:pt>
                <c:pt idx="2">
                  <c:v>562.1</c:v>
                </c:pt>
              </c:numCache>
            </c:numRef>
          </c:val>
          <c:extLst>
            <c:ext xmlns:c16="http://schemas.microsoft.com/office/drawing/2014/chart" uri="{C3380CC4-5D6E-409C-BE32-E72D297353CC}">
              <c16:uniqueId val="{0000000B-3C2D-4016-892A-EC7C443FFC7A}"/>
            </c:ext>
          </c:extLst>
        </c:ser>
        <c:dLbls>
          <c:showLegendKey val="0"/>
          <c:showVal val="0"/>
          <c:showCatName val="0"/>
          <c:showSerName val="0"/>
          <c:showPercent val="0"/>
          <c:showBubbleSize val="0"/>
        </c:dLbls>
        <c:gapWidth val="150"/>
        <c:shape val="box"/>
        <c:axId val="153542016"/>
        <c:axId val="153687168"/>
        <c:axId val="0"/>
      </c:bar3DChart>
      <c:catAx>
        <c:axId val="1535420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687168"/>
        <c:crosses val="autoZero"/>
        <c:auto val="1"/>
        <c:lblAlgn val="ctr"/>
        <c:lblOffset val="100"/>
        <c:noMultiLvlLbl val="0"/>
      </c:catAx>
      <c:valAx>
        <c:axId val="153687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54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Заключено всего контрактов, шт.</c:v>
                </c:pt>
              </c:strCache>
            </c:strRef>
          </c:tx>
          <c:spPr>
            <a:solidFill>
              <a:schemeClr val="accent1"/>
            </a:solidFill>
            <a:ln>
              <a:noFill/>
            </a:ln>
            <a:effectLst/>
            <a:sp3d/>
          </c:spPr>
          <c:invertIfNegative val="0"/>
          <c:dLbls>
            <c:dLbl>
              <c:idx val="0"/>
              <c:layout>
                <c:manualLayout>
                  <c:x val="1.8052580413016096E-3"/>
                  <c:y val="-8.95755279684440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0C-4D47-8530-CB5337F56753}"/>
                </c:ext>
              </c:extLst>
            </c:dLbl>
            <c:dLbl>
              <c:idx val="1"/>
              <c:layout>
                <c:manualLayout>
                  <c:x val="1.8052580413017677E-3"/>
                  <c:y val="-8.95755279684440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0C-4D47-8530-CB5337F56753}"/>
                </c:ext>
              </c:extLst>
            </c:dLbl>
            <c:dLbl>
              <c:idx val="2"/>
              <c:layout>
                <c:manualLayout>
                  <c:x val="-3.326361329367742E-4"/>
                  <c:y val="-3.33550890839263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0C-4D47-8530-CB5337F56753}"/>
                </c:ext>
              </c:extLst>
            </c:dLbl>
            <c:numFmt formatCode="General" sourceLinked="0"/>
            <c:spPr>
              <a:noFill/>
              <a:ln>
                <a:noFill/>
              </a:ln>
              <a:effectLst/>
            </c:spPr>
            <c:txPr>
              <a:bodyPr rot="0" spcFirstLastPara="1" vertOverflow="overflow" horzOverflow="overflow" vert="horz" wrap="square" lIns="38100" tIns="19050" rIns="38100" bIns="19050" anchor="t"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Лист1!$B$2:$B$4</c:f>
              <c:numCache>
                <c:formatCode>General</c:formatCode>
                <c:ptCount val="3"/>
                <c:pt idx="0">
                  <c:v>6240</c:v>
                </c:pt>
                <c:pt idx="1">
                  <c:v>6608</c:v>
                </c:pt>
                <c:pt idx="2">
                  <c:v>6394</c:v>
                </c:pt>
              </c:numCache>
            </c:numRef>
          </c:val>
          <c:extLst>
            <c:ext xmlns:c16="http://schemas.microsoft.com/office/drawing/2014/chart" uri="{C3380CC4-5D6E-409C-BE32-E72D297353CC}">
              <c16:uniqueId val="{00000003-2A0C-4D47-8530-CB5337F56753}"/>
            </c:ext>
          </c:extLst>
        </c:ser>
        <c:ser>
          <c:idx val="1"/>
          <c:order val="1"/>
          <c:tx>
            <c:strRef>
              <c:f>Лист1!$C$1</c:f>
              <c:strCache>
                <c:ptCount val="1"/>
                <c:pt idx="0">
                  <c:v>Заключено контрактов по результатам конкурентных процедур, шт.</c:v>
                </c:pt>
              </c:strCache>
            </c:strRef>
          </c:tx>
          <c:spPr>
            <a:solidFill>
              <a:schemeClr val="accent2"/>
            </a:solidFill>
            <a:ln>
              <a:noFill/>
            </a:ln>
            <a:effectLst/>
            <a:sp3d/>
          </c:spPr>
          <c:invertIfNegative val="0"/>
          <c:dLbls>
            <c:dLbl>
              <c:idx val="0"/>
              <c:layout>
                <c:manualLayout>
                  <c:x val="-2.5259135499564574E-3"/>
                  <c:y val="-2.1742551731427827E-2"/>
                </c:manualLayout>
              </c:layout>
              <c:tx>
                <c:rich>
                  <a:bodyPr/>
                  <a:lstStyle/>
                  <a:p>
                    <a:fld id="{00231A8E-5195-42FD-95BC-DB86957922AF}" type="VALUE">
                      <a:rPr lang="en-US"/>
                      <a:pPr/>
                      <a:t>[ЗНАЧЕНИЕ]</a:t>
                    </a:fld>
                    <a:r>
                      <a:rPr lang="en-US"/>
                      <a:t>; 3,5%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A0C-4D47-8530-CB5337F56753}"/>
                </c:ext>
              </c:extLst>
            </c:dLbl>
            <c:dLbl>
              <c:idx val="1"/>
              <c:layout>
                <c:manualLayout>
                  <c:x val="-2.5259135499564574E-3"/>
                  <c:y val="-2.2898235099687841E-2"/>
                </c:manualLayout>
              </c:layout>
              <c:tx>
                <c:rich>
                  <a:bodyPr/>
                  <a:lstStyle/>
                  <a:p>
                    <a:fld id="{E0014C05-E1E1-44E6-986B-4456BEF1D79E}" type="VALUE">
                      <a:rPr lang="en-US"/>
                      <a:pPr/>
                      <a:t>[ЗНАЧЕНИЕ]</a:t>
                    </a:fld>
                    <a:r>
                      <a:rPr lang="en-US"/>
                      <a:t>; 4,3%</a:t>
                    </a:r>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2A0C-4D47-8530-CB5337F56753}"/>
                </c:ext>
              </c:extLst>
            </c:dLbl>
            <c:dLbl>
              <c:idx val="2"/>
              <c:layout>
                <c:manualLayout>
                  <c:x val="-4.987858612810098E-4"/>
                  <c:y val="-1.9919431017212864E-2"/>
                </c:manualLayout>
              </c:layout>
              <c:tx>
                <c:rich>
                  <a:bodyPr/>
                  <a:lstStyle/>
                  <a:p>
                    <a:fld id="{123DC130-1944-49CA-A1C6-33434F6EF866}" type="VALUE">
                      <a:rPr lang="en-US"/>
                      <a:pPr/>
                      <a:t>[ЗНАЧЕНИЕ]</a:t>
                    </a:fld>
                    <a:r>
                      <a:rPr lang="en-US"/>
                      <a:t>; 4,2%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A0C-4D47-8530-CB5337F56753}"/>
                </c:ext>
              </c:extLst>
            </c:dLbl>
            <c:dLbl>
              <c:idx val="3"/>
              <c:layout>
                <c:manualLayout>
                  <c:x val="1.9597136876054533E-17"/>
                  <c:y val="-1.7046665246111283E-2"/>
                </c:manualLayout>
              </c:layout>
              <c:tx>
                <c:rich>
                  <a:bodyPr/>
                  <a:lstStyle/>
                  <a:p>
                    <a:fld id="{99BD5F89-7226-4D80-BE4A-AB3FFDB4BD8E}" type="VALUE">
                      <a:rPr lang="en-US"/>
                      <a:pPr/>
                      <a:t>[ЗНАЧЕНИЕ]</a:t>
                    </a:fld>
                    <a:r>
                      <a:rPr lang="en-US"/>
                      <a:t>; 3,5%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A0C-4D47-8530-CB5337F56753}"/>
                </c:ext>
              </c:extLst>
            </c:dLbl>
            <c:dLbl>
              <c:idx val="4"/>
              <c:layout>
                <c:manualLayout>
                  <c:x val="-2.1378941742383611E-3"/>
                  <c:y val="-2.1308331557639042E-2"/>
                </c:manualLayout>
              </c:layout>
              <c:tx>
                <c:rich>
                  <a:bodyPr/>
                  <a:lstStyle/>
                  <a:p>
                    <a:fld id="{9948CB21-BF24-4BCE-BD00-757759BA392E}" type="VALUE">
                      <a:rPr lang="en-US"/>
                      <a:pPr/>
                      <a:t>[ЗНАЧЕНИЕ]</a:t>
                    </a:fld>
                    <a:r>
                      <a:rPr lang="en-US"/>
                      <a:t>; 4,3%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2A0C-4D47-8530-CB5337F56753}"/>
                </c:ext>
              </c:extLst>
            </c:dLbl>
            <c:numFmt formatCode="General" sourceLinked="0"/>
            <c:spPr>
              <a:noFill/>
              <a:ln>
                <a:noFill/>
              </a:ln>
              <a:effectLst/>
            </c:spPr>
            <c:txPr>
              <a:bodyPr rot="0" spcFirstLastPara="1" vertOverflow="ellipsis" vert="horz" wrap="square" lIns="38100" tIns="19050" rIns="38100" bIns="19050" anchor="ctr" anchorCtr="0">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Лист1!$C$2:$C$4</c:f>
              <c:numCache>
                <c:formatCode>General</c:formatCode>
                <c:ptCount val="3"/>
                <c:pt idx="0">
                  <c:v>219</c:v>
                </c:pt>
                <c:pt idx="1">
                  <c:v>285</c:v>
                </c:pt>
                <c:pt idx="2">
                  <c:v>269</c:v>
                </c:pt>
              </c:numCache>
            </c:numRef>
          </c:val>
          <c:extLst>
            <c:ext xmlns:c16="http://schemas.microsoft.com/office/drawing/2014/chart" uri="{C3380CC4-5D6E-409C-BE32-E72D297353CC}">
              <c16:uniqueId val="{00000009-2A0C-4D47-8530-CB5337F56753}"/>
            </c:ext>
          </c:extLst>
        </c:ser>
        <c:dLbls>
          <c:showLegendKey val="0"/>
          <c:showVal val="0"/>
          <c:showCatName val="0"/>
          <c:showSerName val="0"/>
          <c:showPercent val="0"/>
          <c:showBubbleSize val="0"/>
        </c:dLbls>
        <c:gapWidth val="150"/>
        <c:shape val="box"/>
        <c:axId val="153781376"/>
        <c:axId val="153782912"/>
        <c:axId val="0"/>
      </c:bar3DChart>
      <c:catAx>
        <c:axId val="1537813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782912"/>
        <c:crosses val="autoZero"/>
        <c:auto val="1"/>
        <c:lblAlgn val="ctr"/>
        <c:lblOffset val="100"/>
        <c:noMultiLvlLbl val="0"/>
      </c:catAx>
      <c:valAx>
        <c:axId val="15378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78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Экономия, млн руб.</c:v>
                </c:pt>
              </c:strCache>
            </c:strRef>
          </c:tx>
          <c:spPr>
            <a:solidFill>
              <a:schemeClr val="accent1"/>
            </a:solidFill>
            <a:ln>
              <a:noFill/>
            </a:ln>
            <a:effectLst/>
            <a:sp3d/>
          </c:spPr>
          <c:invertIfNegative val="0"/>
          <c:dLbls>
            <c:dLbl>
              <c:idx val="0"/>
              <c:tx>
                <c:rich>
                  <a:bodyPr/>
                  <a:lstStyle/>
                  <a:p>
                    <a:fld id="{5F8FD5CE-D620-40E2-BE87-2149912DEAD0}" type="VALUE">
                      <a:rPr lang="en-US"/>
                      <a:pPr/>
                      <a:t>[ЗНАЧЕНИЕ]</a:t>
                    </a:fld>
                    <a:r>
                      <a:rPr lang="en-US"/>
                      <a:t>; 10,7%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1B5-4FD2-B337-0A4333464B94}"/>
                </c:ext>
              </c:extLst>
            </c:dLbl>
            <c:dLbl>
              <c:idx val="1"/>
              <c:tx>
                <c:rich>
                  <a:bodyPr/>
                  <a:lstStyle/>
                  <a:p>
                    <a:fld id="{427620F1-D797-4890-B6B4-6761AAE74000}" type="VALUE">
                      <a:rPr lang="en-US"/>
                      <a:pPr/>
                      <a:t>[ЗНАЧЕНИЕ]</a:t>
                    </a:fld>
                    <a:r>
                      <a:rPr lang="en-US"/>
                      <a:t>; 9,2%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B5-4FD2-B337-0A4333464B94}"/>
                </c:ext>
              </c:extLst>
            </c:dLbl>
            <c:dLbl>
              <c:idx val="2"/>
              <c:tx>
                <c:rich>
                  <a:bodyPr/>
                  <a:lstStyle/>
                  <a:p>
                    <a:fld id="{438B0FFC-93EE-4F81-989B-0048ECD4ACE3}" type="VALUE">
                      <a:rPr lang="en-US"/>
                      <a:pPr/>
                      <a:t>[ЗНАЧЕНИЕ]</a:t>
                    </a:fld>
                    <a:r>
                      <a:rPr lang="en-US"/>
                      <a:t>; 8,1%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1B5-4FD2-B337-0A4333464B94}"/>
                </c:ext>
              </c:extLst>
            </c:dLbl>
            <c:dLbl>
              <c:idx val="3"/>
              <c:tx>
                <c:rich>
                  <a:bodyPr/>
                  <a:lstStyle/>
                  <a:p>
                    <a:fld id="{2C6AA15A-48F8-445A-9E83-1D3F78D91858}" type="VALUE">
                      <a:rPr lang="en-US"/>
                      <a:pPr/>
                      <a:t>[ЗНАЧЕНИЕ]</a:t>
                    </a:fld>
                    <a:r>
                      <a:rPr lang="en-US"/>
                      <a:t>; 10,7%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1B5-4FD2-B337-0A4333464B94}"/>
                </c:ext>
              </c:extLst>
            </c:dLbl>
            <c:dLbl>
              <c:idx val="4"/>
              <c:tx>
                <c:rich>
                  <a:bodyPr/>
                  <a:lstStyle/>
                  <a:p>
                    <a:fld id="{65AEE42F-1937-4F14-A029-6A41D5863B77}" type="VALUE">
                      <a:rPr lang="en-US"/>
                      <a:pPr/>
                      <a:t>[ЗНАЧЕНИЕ]</a:t>
                    </a:fld>
                    <a:r>
                      <a:rPr lang="en-US"/>
                      <a:t>; 9,2%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1B5-4FD2-B337-0A4333464B94}"/>
                </c:ext>
              </c:extLst>
            </c:dLbl>
            <c:spPr>
              <a:solidFill>
                <a:schemeClr val="bg1">
                  <a:lumMod val="85000"/>
                </a:schemeClr>
              </a:solidFill>
              <a:ln>
                <a:solidFill>
                  <a:sysClr val="windowText" lastClr="000000">
                    <a:lumMod val="25000"/>
                    <a:lumOff val="75000"/>
                  </a:sysClr>
                </a:solidFill>
              </a:ln>
              <a:effectLst/>
            </c:spPr>
            <c:txPr>
              <a:bodyPr rot="0" spcFirstLastPara="1" vertOverflow="overflow" horzOverflow="overflow" vert="horz" wrap="square" lIns="38100" tIns="19050" rIns="38100" bIns="19050" anchor="ctr" anchorCtr="0">
                <a:spAutoFit/>
              </a:bodyPr>
              <a:lstStyle/>
              <a:p>
                <a:pPr>
                  <a:defRPr sz="10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Лист1!$A$2:$A$4</c:f>
              <c:strCache>
                <c:ptCount val="3"/>
                <c:pt idx="0">
                  <c:v>2020 год</c:v>
                </c:pt>
                <c:pt idx="1">
                  <c:v>2021 год</c:v>
                </c:pt>
                <c:pt idx="2">
                  <c:v>2022 год</c:v>
                </c:pt>
              </c:strCache>
            </c:strRef>
          </c:cat>
          <c:val>
            <c:numRef>
              <c:f>Лист1!$B$2:$B$4</c:f>
              <c:numCache>
                <c:formatCode>General</c:formatCode>
                <c:ptCount val="3"/>
                <c:pt idx="0">
                  <c:v>35.300000000000004</c:v>
                </c:pt>
                <c:pt idx="1">
                  <c:v>36.700000000000003</c:v>
                </c:pt>
                <c:pt idx="2">
                  <c:v>49.3</c:v>
                </c:pt>
              </c:numCache>
            </c:numRef>
          </c:val>
          <c:extLst>
            <c:ext xmlns:c16="http://schemas.microsoft.com/office/drawing/2014/chart" uri="{C3380CC4-5D6E-409C-BE32-E72D297353CC}">
              <c16:uniqueId val="{00000005-C1B5-4FD2-B337-0A4333464B94}"/>
            </c:ext>
          </c:extLst>
        </c:ser>
        <c:dLbls>
          <c:showLegendKey val="0"/>
          <c:showVal val="0"/>
          <c:showCatName val="0"/>
          <c:showSerName val="0"/>
          <c:showPercent val="0"/>
          <c:showBubbleSize val="0"/>
        </c:dLbls>
        <c:gapWidth val="150"/>
        <c:shape val="box"/>
        <c:axId val="153832832"/>
        <c:axId val="153851008"/>
        <c:axId val="0"/>
      </c:bar3DChart>
      <c:catAx>
        <c:axId val="153832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851008"/>
        <c:crosses val="autoZero"/>
        <c:auto val="1"/>
        <c:lblAlgn val="ctr"/>
        <c:lblOffset val="100"/>
        <c:noMultiLvlLbl val="0"/>
      </c:catAx>
      <c:valAx>
        <c:axId val="15385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3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outerShdw blurRad="50800" dist="50800" dir="5400000" sx="9000" sy="9000" algn="ctr" rotWithShape="0">
        <a:srgbClr val="000000">
          <a:alpha val="43137"/>
        </a:srgbClr>
      </a:outerShdw>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Всего конкурентных закупок, млн руб.</c:v>
                </c:pt>
              </c:strCache>
            </c:strRef>
          </c:tx>
          <c:spPr>
            <a:solidFill>
              <a:schemeClr val="accent1"/>
            </a:solidFill>
            <a:ln>
              <a:noFill/>
            </a:ln>
            <a:effectLst/>
            <a:sp3d/>
          </c:spPr>
          <c:invertIfNegative val="0"/>
          <c:dLbls>
            <c:dLbl>
              <c:idx val="0"/>
              <c:layout>
                <c:manualLayout>
                  <c:x val="1.2494728912493635E-2"/>
                  <c:y val="-5.27622586613524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41-400E-883E-83DB3E1164A1}"/>
                </c:ext>
              </c:extLst>
            </c:dLbl>
            <c:dLbl>
              <c:idx val="1"/>
              <c:layout>
                <c:manualLayout>
                  <c:x val="1.8908411435208761E-2"/>
                  <c:y val="-8.56949113865298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41-400E-883E-83DB3E1164A1}"/>
                </c:ext>
              </c:extLst>
            </c:dLbl>
            <c:dLbl>
              <c:idx val="2"/>
              <c:layout>
                <c:manualLayout>
                  <c:x val="1.8908411435208761E-2"/>
                  <c:y val="-7.59732960269486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41-400E-883E-83DB3E1164A1}"/>
                </c:ext>
              </c:extLst>
            </c:dLbl>
            <c:numFmt formatCode="General" sourceLinked="0"/>
            <c:spPr>
              <a:noFill/>
              <a:ln>
                <a:noFill/>
              </a:ln>
              <a:effectLst/>
            </c:spPr>
            <c:txPr>
              <a:bodyPr rot="0" spcFirstLastPara="1" vertOverflow="overflow" horzOverflow="overflow" vert="horz" wrap="square" lIns="38100" tIns="19050" rIns="38100" bIns="19050" anchor="t"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Лист1!$B$2:$B$4</c:f>
              <c:numCache>
                <c:formatCode>General</c:formatCode>
                <c:ptCount val="3"/>
                <c:pt idx="0">
                  <c:v>330.6</c:v>
                </c:pt>
                <c:pt idx="1">
                  <c:v>397.9</c:v>
                </c:pt>
                <c:pt idx="2">
                  <c:v>611.41999999999996</c:v>
                </c:pt>
              </c:numCache>
            </c:numRef>
          </c:val>
          <c:extLst>
            <c:ext xmlns:c16="http://schemas.microsoft.com/office/drawing/2014/chart" uri="{C3380CC4-5D6E-409C-BE32-E72D297353CC}">
              <c16:uniqueId val="{00000003-B141-400E-883E-83DB3E1164A1}"/>
            </c:ext>
          </c:extLst>
        </c:ser>
        <c:ser>
          <c:idx val="1"/>
          <c:order val="1"/>
          <c:tx>
            <c:strRef>
              <c:f>Лист1!$C$1</c:f>
              <c:strCache>
                <c:ptCount val="1"/>
                <c:pt idx="0">
                  <c:v>Закупки у СМП и СОНКО, млн руб.</c:v>
                </c:pt>
              </c:strCache>
            </c:strRef>
          </c:tx>
          <c:spPr>
            <a:solidFill>
              <a:schemeClr val="accent2"/>
            </a:solidFill>
            <a:ln>
              <a:noFill/>
            </a:ln>
            <a:effectLst/>
            <a:sp3d/>
          </c:spPr>
          <c:invertIfNegative val="0"/>
          <c:dLbls>
            <c:dLbl>
              <c:idx val="0"/>
              <c:layout>
                <c:manualLayout>
                  <c:x val="1.6715134018188985E-2"/>
                  <c:y val="-1.5156021683688388E-2"/>
                </c:manualLayout>
              </c:layout>
              <c:tx>
                <c:rich>
                  <a:bodyPr/>
                  <a:lstStyle/>
                  <a:p>
                    <a:fld id="{00231A8E-5195-42FD-95BC-DB86957922AF}" type="VALUE">
                      <a:rPr lang="en-US"/>
                      <a:pPr/>
                      <a:t>[ЗНАЧЕНИЕ]</a:t>
                    </a:fld>
                    <a:r>
                      <a:rPr lang="en-US"/>
                      <a:t>; 63%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141-400E-883E-83DB3E1164A1}"/>
                </c:ext>
              </c:extLst>
            </c:dLbl>
            <c:dLbl>
              <c:idx val="1"/>
              <c:layout>
                <c:manualLayout>
                  <c:x val="1.6715134018188985E-2"/>
                  <c:y val="-1.863651038350982E-2"/>
                </c:manualLayout>
              </c:layout>
              <c:tx>
                <c:rich>
                  <a:bodyPr/>
                  <a:lstStyle/>
                  <a:p>
                    <a:fld id="{E0014C05-E1E1-44E6-986B-4456BEF1D79E}" type="VALUE">
                      <a:rPr lang="en-US"/>
                      <a:pPr/>
                      <a:t>[ЗНАЧЕНИЕ]</a:t>
                    </a:fld>
                    <a:r>
                      <a:rPr lang="en-US"/>
                      <a:t>; 50,6%</a:t>
                    </a:r>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B141-400E-883E-83DB3E1164A1}"/>
                </c:ext>
              </c:extLst>
            </c:dLbl>
            <c:dLbl>
              <c:idx val="2"/>
              <c:layout>
                <c:manualLayout>
                  <c:x val="1.4466473358387697E-2"/>
                  <c:y val="-1.9919327966434627E-2"/>
                </c:manualLayout>
              </c:layout>
              <c:tx>
                <c:rich>
                  <a:bodyPr/>
                  <a:lstStyle/>
                  <a:p>
                    <a:fld id="{123DC130-1944-49CA-A1C6-33434F6EF866}" type="VALUE">
                      <a:rPr lang="en-US"/>
                      <a:pPr/>
                      <a:t>[ЗНАЧЕНИЕ]</a:t>
                    </a:fld>
                    <a:r>
                      <a:rPr lang="en-US"/>
                      <a:t>; 41,4%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141-400E-883E-83DB3E1164A1}"/>
                </c:ext>
              </c:extLst>
            </c:dLbl>
            <c:dLbl>
              <c:idx val="3"/>
              <c:layout>
                <c:manualLayout>
                  <c:x val="2.1378941742382991E-3"/>
                  <c:y val="-1.7046667124784934E-2"/>
                </c:manualLayout>
              </c:layout>
              <c:tx>
                <c:rich>
                  <a:bodyPr/>
                  <a:lstStyle/>
                  <a:p>
                    <a:fld id="{99BD5F89-7226-4D80-BE4A-AB3FFDB4BD8E}" type="VALUE">
                      <a:rPr lang="en-US"/>
                      <a:pPr/>
                      <a:t>[ЗНАЧЕНИЕ]</a:t>
                    </a:fld>
                    <a:r>
                      <a:rPr lang="en-US"/>
                      <a:t>; 63%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141-400E-883E-83DB3E1164A1}"/>
                </c:ext>
              </c:extLst>
            </c:dLbl>
            <c:dLbl>
              <c:idx val="4"/>
              <c:layout>
                <c:manualLayout>
                  <c:x val="0"/>
                  <c:y val="-1.8014938977350372E-2"/>
                </c:manualLayout>
              </c:layout>
              <c:tx>
                <c:rich>
                  <a:bodyPr/>
                  <a:lstStyle/>
                  <a:p>
                    <a:fld id="{9948CB21-BF24-4BCE-BD00-757759BA392E}" type="VALUE">
                      <a:rPr lang="en-US"/>
                      <a:pPr/>
                      <a:t>[ЗНАЧЕНИЕ]</a:t>
                    </a:fld>
                    <a:r>
                      <a:rPr lang="en-US"/>
                      <a:t>; 50,6%</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141-400E-883E-83DB3E1164A1}"/>
                </c:ext>
              </c:extLst>
            </c:dLbl>
            <c:numFmt formatCode="General" sourceLinked="0"/>
            <c:spPr>
              <a:noFill/>
              <a:ln>
                <a:noFill/>
              </a:ln>
              <a:effectLst/>
            </c:spPr>
            <c:txPr>
              <a:bodyPr rot="0" spcFirstLastPara="1" vertOverflow="ellipsis" vert="horz" wrap="square" lIns="38100" tIns="19050" rIns="38100" bIns="19050" anchor="ctr" anchorCtr="0">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Лист1!$C$2:$C$4</c:f>
              <c:numCache>
                <c:formatCode>General</c:formatCode>
                <c:ptCount val="3"/>
                <c:pt idx="0">
                  <c:v>208.4</c:v>
                </c:pt>
                <c:pt idx="1">
                  <c:v>201.3</c:v>
                </c:pt>
                <c:pt idx="2">
                  <c:v>253</c:v>
                </c:pt>
              </c:numCache>
            </c:numRef>
          </c:val>
          <c:extLst>
            <c:ext xmlns:c16="http://schemas.microsoft.com/office/drawing/2014/chart" uri="{C3380CC4-5D6E-409C-BE32-E72D297353CC}">
              <c16:uniqueId val="{00000009-B141-400E-883E-83DB3E1164A1}"/>
            </c:ext>
          </c:extLst>
        </c:ser>
        <c:dLbls>
          <c:showLegendKey val="0"/>
          <c:showVal val="0"/>
          <c:showCatName val="0"/>
          <c:showSerName val="0"/>
          <c:showPercent val="0"/>
          <c:showBubbleSize val="0"/>
        </c:dLbls>
        <c:gapWidth val="150"/>
        <c:shape val="box"/>
        <c:axId val="153916160"/>
        <c:axId val="153917696"/>
        <c:axId val="0"/>
      </c:bar3DChart>
      <c:catAx>
        <c:axId val="153916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917696"/>
        <c:crosses val="autoZero"/>
        <c:auto val="1"/>
        <c:lblAlgn val="ctr"/>
        <c:lblOffset val="100"/>
        <c:noMultiLvlLbl val="0"/>
      </c:catAx>
      <c:valAx>
        <c:axId val="153917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91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6</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Кацай Артур Михайлович</dc:creator>
  <cp:keywords/>
  <dc:description/>
  <cp:lastModifiedBy>Кацай Артур Михайлович</cp:lastModifiedBy>
  <cp:revision>4</cp:revision>
  <dcterms:created xsi:type="dcterms:W3CDTF">2023-05-15T05:53:00Z</dcterms:created>
  <dcterms:modified xsi:type="dcterms:W3CDTF">2023-05-15T05:56:00Z</dcterms:modified>
</cp:coreProperties>
</file>