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27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2315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pict>
          <v:group style="width:132.2pt;height:25.1pt;mso-position-horizontal-relative:char;mso-position-vertical-relative:line" coordorigin="0,0" coordsize="2644,502">
            <v:shape style="position:absolute;left:0;top:0;width:2644;height:502" coordorigin="0,0" coordsize="2644,502" path="m2392,0l251,0,171,13,103,48,48,103,13,172,0,251,13,330,48,399,103,453,171,489,251,502,2392,502,2472,489,2541,453,2595,399,2631,330,2643,251,2631,172,2595,103,2541,48,2472,13,2392,0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644;height:502" type="#_x0000_t202" filled="false" stroked="false">
              <v:textbox inset="0,0,0,0">
                <w:txbxContent>
                  <w:p>
                    <w:pPr>
                      <w:spacing w:before="127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9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28"/>
        </w:rPr>
      </w:pPr>
    </w:p>
    <w:p>
      <w:pPr>
        <w:spacing w:before="95"/>
        <w:ind w:left="130" w:right="1622" w:firstLine="0"/>
        <w:jc w:val="left"/>
        <w:rPr>
          <w:b/>
          <w:sz w:val="28"/>
        </w:rPr>
      </w:pPr>
      <w:r>
        <w:rPr>
          <w:b/>
          <w:color w:val="414043"/>
          <w:sz w:val="28"/>
        </w:rPr>
        <w:t>ФНС</w:t>
      </w:r>
      <w:r>
        <w:rPr>
          <w:b/>
          <w:color w:val="414043"/>
          <w:spacing w:val="-55"/>
          <w:sz w:val="28"/>
        </w:rPr>
        <w:t> </w:t>
      </w:r>
      <w:r>
        <w:rPr>
          <w:b/>
          <w:color w:val="414043"/>
          <w:sz w:val="28"/>
        </w:rPr>
        <w:t>России</w:t>
      </w:r>
      <w:r>
        <w:rPr>
          <w:b/>
          <w:color w:val="414043"/>
          <w:spacing w:val="-55"/>
          <w:sz w:val="28"/>
        </w:rPr>
        <w:t> </w:t>
      </w:r>
      <w:r>
        <w:rPr>
          <w:b/>
          <w:color w:val="414043"/>
          <w:sz w:val="28"/>
        </w:rPr>
        <w:t>обновила</w:t>
      </w:r>
      <w:r>
        <w:rPr>
          <w:b/>
          <w:color w:val="414043"/>
          <w:spacing w:val="-53"/>
          <w:sz w:val="28"/>
        </w:rPr>
        <w:t> </w:t>
      </w:r>
      <w:r>
        <w:rPr>
          <w:b/>
          <w:color w:val="414043"/>
          <w:sz w:val="28"/>
        </w:rPr>
        <w:t>контрольные</w:t>
      </w:r>
      <w:r>
        <w:rPr>
          <w:b/>
          <w:color w:val="414043"/>
          <w:spacing w:val="-56"/>
          <w:sz w:val="28"/>
        </w:rPr>
        <w:t> </w:t>
      </w:r>
      <w:r>
        <w:rPr>
          <w:b/>
          <w:color w:val="414043"/>
          <w:sz w:val="28"/>
        </w:rPr>
        <w:t>соотношения </w:t>
      </w:r>
      <w:r>
        <w:rPr>
          <w:b/>
          <w:color w:val="414043"/>
          <w:w w:val="95"/>
          <w:sz w:val="28"/>
        </w:rPr>
        <w:t>для уведомления об исчисленных суммах налогов</w:t>
      </w:r>
    </w:p>
    <w:p>
      <w:pPr>
        <w:pStyle w:val="BodyText"/>
        <w:spacing w:before="281"/>
        <w:ind w:right="358"/>
      </w:pPr>
      <w:r>
        <w:rPr>
          <w:color w:val="414043"/>
          <w:w w:val="105"/>
        </w:rPr>
        <w:t>ФНС России в письме от 29.11.2023 № ЕА-4-15/14981@ обновлены контрольные соотношения для формы уведомления об исчисленных суммах налогов, авансовых платежей по налогам, сборов, страховых взносов, которая утверждена приказом ФНС России от 02.11.2022</w:t>
      </w:r>
    </w:p>
    <w:p>
      <w:pPr>
        <w:pStyle w:val="BodyText"/>
        <w:spacing w:line="283" w:lineRule="exact"/>
      </w:pPr>
      <w:r>
        <w:rPr>
          <w:color w:val="414043"/>
          <w:w w:val="105"/>
        </w:rPr>
        <w:t>№ ЕД-7-8/1047@.</w:t>
      </w:r>
    </w:p>
    <w:p>
      <w:pPr>
        <w:pStyle w:val="BodyText"/>
        <w:spacing w:before="118"/>
        <w:ind w:right="1261"/>
      </w:pPr>
      <w:r>
        <w:rPr>
          <w:color w:val="414043"/>
          <w:w w:val="110"/>
        </w:rPr>
        <w:t>Прежние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контрольные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соотношения</w:t>
      </w:r>
      <w:r>
        <w:rPr>
          <w:color w:val="414043"/>
          <w:spacing w:val="-30"/>
          <w:w w:val="110"/>
        </w:rPr>
        <w:t> </w:t>
      </w:r>
      <w:r>
        <w:rPr>
          <w:color w:val="414043"/>
          <w:w w:val="110"/>
        </w:rPr>
        <w:t>для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уведомления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единому налоговому</w:t>
      </w:r>
      <w:r>
        <w:rPr>
          <w:color w:val="414043"/>
          <w:spacing w:val="-27"/>
          <w:w w:val="110"/>
        </w:rPr>
        <w:t> </w:t>
      </w:r>
      <w:r>
        <w:rPr>
          <w:color w:val="414043"/>
          <w:w w:val="110"/>
        </w:rPr>
        <w:t>платежу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не</w:t>
      </w:r>
      <w:r>
        <w:rPr>
          <w:color w:val="414043"/>
          <w:spacing w:val="-19"/>
          <w:w w:val="110"/>
        </w:rPr>
        <w:t> </w:t>
      </w:r>
      <w:r>
        <w:rPr>
          <w:color w:val="414043"/>
          <w:w w:val="110"/>
        </w:rPr>
        <w:t>применяются.</w:t>
      </w:r>
    </w:p>
    <w:p>
      <w:pPr>
        <w:spacing w:before="117"/>
        <w:ind w:left="124" w:right="1622" w:firstLine="0"/>
        <w:jc w:val="left"/>
        <w:rPr>
          <w:sz w:val="24"/>
        </w:rPr>
      </w:pPr>
      <w:r>
        <w:rPr>
          <w:color w:val="414043"/>
          <w:w w:val="105"/>
          <w:sz w:val="24"/>
        </w:rPr>
        <w:t>В</w:t>
      </w:r>
      <w:r>
        <w:rPr>
          <w:color w:val="414043"/>
          <w:spacing w:val="-55"/>
          <w:w w:val="105"/>
          <w:sz w:val="24"/>
        </w:rPr>
        <w:t> </w:t>
      </w:r>
      <w:r>
        <w:rPr>
          <w:color w:val="414043"/>
          <w:w w:val="105"/>
          <w:sz w:val="24"/>
        </w:rPr>
        <w:t>новом</w:t>
      </w:r>
      <w:r>
        <w:rPr>
          <w:color w:val="414043"/>
          <w:spacing w:val="-55"/>
          <w:w w:val="105"/>
          <w:sz w:val="24"/>
        </w:rPr>
        <w:t> </w:t>
      </w:r>
      <w:r>
        <w:rPr>
          <w:color w:val="414043"/>
          <w:w w:val="105"/>
          <w:sz w:val="24"/>
        </w:rPr>
        <w:t>перечне</w:t>
      </w:r>
      <w:r>
        <w:rPr>
          <w:color w:val="414043"/>
          <w:spacing w:val="-53"/>
          <w:w w:val="105"/>
          <w:sz w:val="24"/>
        </w:rPr>
        <w:t> </w:t>
      </w:r>
      <w:r>
        <w:rPr>
          <w:color w:val="414043"/>
          <w:w w:val="105"/>
          <w:sz w:val="24"/>
        </w:rPr>
        <w:t>содержится</w:t>
      </w:r>
      <w:r>
        <w:rPr>
          <w:color w:val="414043"/>
          <w:spacing w:val="-55"/>
          <w:w w:val="105"/>
          <w:sz w:val="24"/>
        </w:rPr>
        <w:t> </w:t>
      </w:r>
      <w:r>
        <w:rPr>
          <w:b/>
          <w:color w:val="414043"/>
          <w:w w:val="105"/>
          <w:sz w:val="24"/>
        </w:rPr>
        <w:t>76</w:t>
      </w:r>
      <w:r>
        <w:rPr>
          <w:b/>
          <w:color w:val="414043"/>
          <w:spacing w:val="-52"/>
          <w:w w:val="105"/>
          <w:sz w:val="24"/>
        </w:rPr>
        <w:t> </w:t>
      </w:r>
      <w:r>
        <w:rPr>
          <w:b/>
          <w:color w:val="414043"/>
          <w:w w:val="105"/>
          <w:sz w:val="24"/>
        </w:rPr>
        <w:t>контрольных соотношений</w:t>
      </w:r>
      <w:r>
        <w:rPr>
          <w:color w:val="414043"/>
          <w:w w:val="105"/>
          <w:sz w:val="24"/>
        </w:rPr>
        <w:t>, сгруппированном по видам</w:t>
      </w:r>
      <w:r>
        <w:rPr>
          <w:color w:val="414043"/>
          <w:spacing w:val="-51"/>
          <w:w w:val="105"/>
          <w:sz w:val="24"/>
        </w:rPr>
        <w:t> </w:t>
      </w:r>
      <w:r>
        <w:rPr>
          <w:color w:val="414043"/>
          <w:w w:val="105"/>
          <w:sz w:val="24"/>
        </w:rPr>
        <w:t>ошибок:</w:t>
      </w:r>
    </w:p>
    <w:p>
      <w:pPr>
        <w:pStyle w:val="BodyText"/>
        <w:spacing w:line="286" w:lineRule="exact"/>
        <w:ind w:left="54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545693</wp:posOffset>
            </wp:positionH>
            <wp:positionV relativeFrom="paragraph">
              <wp:posOffset>47847</wp:posOffset>
            </wp:positionV>
            <wp:extent cx="126187" cy="927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неверно указан</w:t>
      </w:r>
      <w:r>
        <w:rPr>
          <w:color w:val="414043"/>
          <w:spacing w:val="-51"/>
          <w:w w:val="110"/>
        </w:rPr>
        <w:t> </w:t>
      </w:r>
      <w:r>
        <w:rPr>
          <w:color w:val="414043"/>
          <w:w w:val="110"/>
        </w:rPr>
        <w:t>КБК;</w:t>
      </w:r>
    </w:p>
    <w:p>
      <w:pPr>
        <w:pStyle w:val="BodyText"/>
        <w:ind w:left="544" w:right="126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545693</wp:posOffset>
            </wp:positionH>
            <wp:positionV relativeFrom="paragraph">
              <wp:posOffset>49737</wp:posOffset>
            </wp:positionV>
            <wp:extent cx="126187" cy="9276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545693</wp:posOffset>
            </wp:positionH>
            <wp:positionV relativeFrom="paragraph">
              <wp:posOffset>232617</wp:posOffset>
            </wp:positionV>
            <wp:extent cx="126187" cy="9276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КБК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не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соответствует</w:t>
      </w:r>
      <w:r>
        <w:rPr>
          <w:color w:val="414043"/>
          <w:spacing w:val="-37"/>
          <w:w w:val="110"/>
        </w:rPr>
        <w:t> </w:t>
      </w:r>
      <w:r>
        <w:rPr>
          <w:color w:val="414043"/>
          <w:spacing w:val="-3"/>
          <w:w w:val="110"/>
        </w:rPr>
        <w:t>коду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отчетного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или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налогового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периода; дата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представления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уведомления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меньше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даты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начала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срока его</w:t>
      </w:r>
      <w:r>
        <w:rPr>
          <w:color w:val="414043"/>
          <w:spacing w:val="-22"/>
          <w:w w:val="110"/>
        </w:rPr>
        <w:t> </w:t>
      </w:r>
      <w:r>
        <w:rPr>
          <w:color w:val="414043"/>
          <w:w w:val="110"/>
        </w:rPr>
        <w:t>представления;</w:t>
      </w:r>
    </w:p>
    <w:p>
      <w:pPr>
        <w:pStyle w:val="BodyText"/>
        <w:spacing w:line="237" w:lineRule="auto"/>
        <w:ind w:left="544" w:right="409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545693</wp:posOffset>
            </wp:positionH>
            <wp:positionV relativeFrom="paragraph">
              <wp:posOffset>48212</wp:posOffset>
            </wp:positionV>
            <wp:extent cx="126187" cy="9276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545693</wp:posOffset>
            </wp:positionH>
            <wp:positionV relativeFrom="paragraph">
              <wp:posOffset>231092</wp:posOffset>
            </wp:positionV>
            <wp:extent cx="126187" cy="92765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545693</wp:posOffset>
            </wp:positionH>
            <wp:positionV relativeFrom="paragraph">
              <wp:posOffset>413972</wp:posOffset>
            </wp:positionV>
            <wp:extent cx="126187" cy="92765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spacing w:val="-3"/>
          <w:w w:val="110"/>
        </w:rPr>
        <w:t>код </w:t>
      </w:r>
      <w:r>
        <w:rPr>
          <w:color w:val="414043"/>
          <w:w w:val="110"/>
        </w:rPr>
        <w:t>ОКТМО не соответствует КБК; представлено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уведомление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с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минусом; неверно указан</w:t>
      </w:r>
      <w:r>
        <w:rPr>
          <w:color w:val="414043"/>
          <w:spacing w:val="-51"/>
          <w:w w:val="110"/>
        </w:rPr>
        <w:t> </w:t>
      </w:r>
      <w:r>
        <w:rPr>
          <w:color w:val="414043"/>
          <w:w w:val="110"/>
        </w:rPr>
        <w:t>КПП.</w:t>
      </w:r>
    </w:p>
    <w:p>
      <w:pPr>
        <w:pStyle w:val="BodyText"/>
        <w:spacing w:before="238"/>
        <w:ind w:left="696" w:right="1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568415</wp:posOffset>
            </wp:positionH>
            <wp:positionV relativeFrom="paragraph">
              <wp:posOffset>202928</wp:posOffset>
            </wp:positionV>
            <wp:extent cx="228446" cy="204345"/>
            <wp:effectExtent l="0" t="0" r="0" b="0"/>
            <wp:wrapNone/>
            <wp:docPr id="15" name="image3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6" cy="20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Уведомление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представляется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налоговый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орган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месту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постановки на учет</w:t>
      </w:r>
      <w:r>
        <w:rPr>
          <w:color w:val="414043"/>
          <w:spacing w:val="-50"/>
          <w:w w:val="110"/>
        </w:rPr>
        <w:t> </w:t>
      </w:r>
      <w:r>
        <w:rPr>
          <w:color w:val="414043"/>
          <w:w w:val="110"/>
        </w:rPr>
        <w:t>налогоплательщика.</w:t>
      </w:r>
    </w:p>
    <w:p>
      <w:pPr>
        <w:pStyle w:val="BodyText"/>
        <w:spacing w:before="116"/>
        <w:ind w:right="286"/>
      </w:pPr>
      <w:r>
        <w:rPr>
          <w:color w:val="414043"/>
          <w:w w:val="110"/>
        </w:rPr>
        <w:t>Подать</w:t>
      </w:r>
      <w:r>
        <w:rPr>
          <w:color w:val="414043"/>
          <w:spacing w:val="-40"/>
          <w:w w:val="110"/>
        </w:rPr>
        <w:t> </w:t>
      </w:r>
      <w:r>
        <w:rPr>
          <w:color w:val="414043"/>
          <w:w w:val="110"/>
        </w:rPr>
        <w:t>Уведомление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можно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через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личный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кабинет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налогоплательщика, по</w:t>
      </w:r>
      <w:r>
        <w:rPr>
          <w:color w:val="414043"/>
          <w:spacing w:val="-36"/>
          <w:w w:val="110"/>
        </w:rPr>
        <w:t> </w:t>
      </w:r>
      <w:r>
        <w:rPr>
          <w:color w:val="414043"/>
          <w:spacing w:val="-3"/>
          <w:w w:val="110"/>
        </w:rPr>
        <w:t>ТКС,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на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бумажном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носителе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(только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налогоплательщики,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не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указанные в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пункте</w:t>
      </w:r>
      <w:r>
        <w:rPr>
          <w:color w:val="414043"/>
          <w:spacing w:val="-21"/>
          <w:w w:val="110"/>
        </w:rPr>
        <w:t> </w:t>
      </w:r>
      <w:r>
        <w:rPr>
          <w:color w:val="414043"/>
          <w:w w:val="110"/>
        </w:rPr>
        <w:t>3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статьи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80</w:t>
      </w:r>
      <w:r>
        <w:rPr>
          <w:color w:val="414043"/>
          <w:spacing w:val="-21"/>
          <w:w w:val="110"/>
        </w:rPr>
        <w:t> </w:t>
      </w:r>
      <w:r>
        <w:rPr>
          <w:color w:val="414043"/>
          <w:w w:val="110"/>
        </w:rPr>
        <w:t>НК</w:t>
      </w:r>
      <w:r>
        <w:rPr>
          <w:color w:val="414043"/>
          <w:spacing w:val="-22"/>
          <w:w w:val="110"/>
        </w:rPr>
        <w:t> </w:t>
      </w:r>
      <w:r>
        <w:rPr>
          <w:color w:val="414043"/>
          <w:w w:val="110"/>
        </w:rPr>
        <w:t>РФ).</w:t>
      </w:r>
    </w:p>
    <w:p>
      <w:pPr>
        <w:pStyle w:val="BodyText"/>
        <w:spacing w:before="10"/>
        <w:ind w:left="0"/>
        <w:rPr>
          <w:sz w:val="13"/>
        </w:rPr>
      </w:pPr>
      <w:r>
        <w:rPr/>
        <w:pict>
          <v:group style="position:absolute;margin-left:43.16pt;margin-top:10.335601pt;width:453.4pt;height:53.2pt;mso-position-horizontal-relative:page;mso-position-vertical-relative:paragraph;z-index:-15728128;mso-wrap-distance-left:0;mso-wrap-distance-right:0" coordorigin="863,207" coordsize="9068,1064">
            <v:shape style="position:absolute;left:863;top:206;width:9068;height:1064" coordorigin="863,207" coordsize="9068,1064" path="m9799,207l995,207,944,217,902,245,874,287,863,339,863,1138,874,1189,902,1231,944,1260,995,1270,9799,1270,9850,1260,9892,1231,9920,1189,9931,1138,9931,339,9920,287,9892,245,9850,217,9799,207xe" filled="true" fillcolor="#f7923e" stroked="false">
              <v:path arrowok="t"/>
              <v:fill opacity="13107f" type="solid"/>
            </v:shape>
            <v:shape style="position:absolute;left:982;top:331;width:273;height:333" type="#_x0000_t75" alt="https://cdn3.iconfinder.com/data/icons/stationary-items/128/Stationary_items-40-512.png" stroked="false">
              <v:imagedata r:id="rId9" o:title=""/>
            </v:shape>
            <v:shape style="position:absolute;left:863;top:206;width:9068;height:1064" type="#_x0000_t202" filled="false" stroked="false">
              <v:textbox inset="0,0,0,0">
                <w:txbxContent>
                  <w:p>
                    <w:pPr>
                      <w:spacing w:before="96"/>
                      <w:ind w:left="657" w:right="580" w:firstLine="9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w w:val="110"/>
                        <w:sz w:val="24"/>
                      </w:rPr>
                      <w:t>В случае отправки Уведомления из Личного кабинета индивидуального</w:t>
                    </w:r>
                    <w:r>
                      <w:rPr>
                        <w:color w:val="414043"/>
                        <w:spacing w:val="-52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предпринимателя</w:t>
                    </w:r>
                    <w:r>
                      <w:rPr>
                        <w:color w:val="414043"/>
                        <w:spacing w:val="-5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предусмотрена</w:t>
                    </w:r>
                    <w:r>
                      <w:rPr>
                        <w:color w:val="414043"/>
                        <w:spacing w:val="-5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возможность использования неквалифицированной электронной подписи.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1"/>
        <w:ind w:right="358"/>
      </w:pPr>
      <w:r>
        <w:rPr>
          <w:color w:val="414043"/>
          <w:w w:val="105"/>
        </w:rPr>
        <w:t>УФНС России по Челябинской области напоминает, что налоги, уплачиваемые единым налоговым платежом, подлежат перечислению платежным документом со статусом «01» на КБК Единого налогового платежа – 18201061201010000510.</w:t>
      </w:r>
    </w:p>
    <w:p>
      <w:pPr>
        <w:spacing w:after="0"/>
        <w:sectPr>
          <w:type w:val="continuous"/>
          <w:pgSz w:w="10800" w:h="15600"/>
          <w:pgMar w:top="780" w:bottom="280" w:left="720" w:right="760"/>
        </w:sect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539686</wp:posOffset>
            </wp:positionH>
            <wp:positionV relativeFrom="paragraph">
              <wp:posOffset>78889</wp:posOffset>
            </wp:positionV>
            <wp:extent cx="522084" cy="874496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21" w:right="38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0"/>
          <w:w w:val="110"/>
          <w:sz w:val="18"/>
        </w:rPr>
        <w:t> </w:t>
      </w:r>
      <w:r>
        <w:rPr>
          <w:color w:val="414043"/>
          <w:spacing w:val="-3"/>
          <w:w w:val="110"/>
          <w:sz w:val="18"/>
        </w:rPr>
        <w:t>телефон </w:t>
      </w:r>
      <w:r>
        <w:rPr>
          <w:color w:val="414043"/>
          <w:w w:val="110"/>
          <w:sz w:val="18"/>
        </w:rPr>
        <w:t>контакт-центра ФНС</w:t>
      </w:r>
      <w:r>
        <w:rPr>
          <w:color w:val="414043"/>
          <w:spacing w:val="-32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p>
      <w:pPr>
        <w:spacing w:before="6"/>
        <w:ind w:left="129" w:right="124" w:firstLine="931"/>
        <w:jc w:val="right"/>
        <w:rPr>
          <w:sz w:val="21"/>
        </w:rPr>
      </w:pPr>
      <w:r>
        <w:rPr/>
        <w:br w:type="column"/>
      </w:r>
      <w:r>
        <w:rPr>
          <w:color w:val="414043"/>
          <w:w w:val="110"/>
          <w:sz w:val="21"/>
        </w:rPr>
        <w:t>Памятка по</w:t>
      </w:r>
      <w:r>
        <w:rPr>
          <w:color w:val="414043"/>
          <w:spacing w:val="-41"/>
          <w:w w:val="110"/>
          <w:sz w:val="21"/>
        </w:rPr>
        <w:t> </w:t>
      </w:r>
      <w:r>
        <w:rPr>
          <w:color w:val="414043"/>
          <w:spacing w:val="-3"/>
          <w:w w:val="110"/>
          <w:sz w:val="21"/>
        </w:rPr>
        <w:t>порядку </w:t>
      </w:r>
      <w:r>
        <w:rPr>
          <w:color w:val="414043"/>
          <w:w w:val="110"/>
          <w:sz w:val="21"/>
        </w:rPr>
        <w:t>представления</w:t>
      </w:r>
      <w:r>
        <w:rPr>
          <w:color w:val="414043"/>
          <w:spacing w:val="-60"/>
          <w:w w:val="110"/>
          <w:sz w:val="21"/>
        </w:rPr>
        <w:t> </w:t>
      </w:r>
      <w:r>
        <w:rPr>
          <w:color w:val="414043"/>
          <w:w w:val="110"/>
          <w:sz w:val="21"/>
        </w:rPr>
        <w:t>и </w:t>
      </w:r>
      <w:r>
        <w:rPr>
          <w:color w:val="414043"/>
          <w:spacing w:val="-3"/>
          <w:w w:val="110"/>
          <w:sz w:val="21"/>
        </w:rPr>
        <w:t>заполнения</w:t>
      </w:r>
    </w:p>
    <w:p>
      <w:pPr>
        <w:spacing w:line="251" w:lineRule="exact" w:before="0"/>
        <w:ind w:left="0" w:right="124" w:firstLine="0"/>
        <w:jc w:val="right"/>
        <w:rPr>
          <w:sz w:val="21"/>
        </w:rPr>
      </w:pPr>
      <w:r>
        <w:rPr/>
        <w:pict>
          <v:group style="position:absolute;margin-left:356.380005pt;margin-top:19.59687pt;width:139.8pt;height:92.55pt;mso-position-horizontal-relative:page;mso-position-vertical-relative:paragraph;z-index:15729664" coordorigin="7128,392" coordsize="2796,1851">
            <v:shape style="position:absolute;left:7127;top:391;width:2796;height:1851" type="#_x0000_t75" stroked="false">
              <v:imagedata r:id="rId11" o:title=""/>
            </v:shape>
            <v:shape style="position:absolute;left:8235;top:557;width:1503;height:1512" type="#_x0000_t75" stroked="false">
              <v:imagedata r:id="rId12" o:title=""/>
            </v:shape>
            <w10:wrap type="none"/>
          </v:group>
        </w:pict>
      </w:r>
      <w:r>
        <w:rPr>
          <w:color w:val="414043"/>
          <w:w w:val="110"/>
          <w:sz w:val="21"/>
        </w:rPr>
        <w:t>уведомления</w:t>
      </w:r>
    </w:p>
    <w:sectPr>
      <w:type w:val="continuous"/>
      <w:pgSz w:w="10800" w:h="15600"/>
      <w:pgMar w:top="780" w:bottom="280" w:left="720" w:right="760"/>
      <w:cols w:num="2" w:equalWidth="0">
        <w:col w:w="4683" w:space="1337"/>
        <w:col w:w="3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4"/>
    </w:pPr>
    <w:rPr>
      <w:rFonts w:ascii="Tahoma" w:hAnsi="Tahoma" w:eastAsia="Tahoma" w:cs="Tahoma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71"/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2023-12-18T12:27:42Z</dcterms:created>
  <dcterms:modified xsi:type="dcterms:W3CDTF">2023-12-18T12:27:42Z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