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1702" w14:textId="77777777" w:rsidR="00DD2F67" w:rsidRPr="00D11FB1" w:rsidRDefault="00DD2F67" w:rsidP="00DD2F67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  <w:t>Предъявление исковых требований о взыскании неосновательного обогащения с граждан – получателей похищенных безналичных денежных средств</w:t>
      </w:r>
    </w:p>
    <w:p w14:paraId="6A1979FF" w14:textId="77777777" w:rsidR="00DD2F67" w:rsidRPr="00D11FB1" w:rsidRDefault="00DD2F67" w:rsidP="00DD2F67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</w:p>
    <w:p w14:paraId="6E6A1668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Большинство телефонных мошенничеств совершается с использованием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банковских карт физических лиц.</w:t>
      </w:r>
    </w:p>
    <w:p w14:paraId="76EA8DC3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При получении доступа к счетам граждан мошенники выводят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денежные средства через счета посредников (</w:t>
      </w:r>
      <w:proofErr w:type="spellStart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дропперов</w:t>
      </w:r>
      <w:proofErr w:type="spellEnd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) и оперативно их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обналичивают.</w:t>
      </w:r>
    </w:p>
    <w:p w14:paraId="1F4D66F5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Иногда таких лиц используют «втемную», но, как правило, за указанные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действия они получают вознаграждение.</w:t>
      </w:r>
    </w:p>
    <w:p w14:paraId="777374E1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Чаще всего </w:t>
      </w:r>
      <w:proofErr w:type="spellStart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дропперами</w:t>
      </w:r>
      <w:proofErr w:type="spellEnd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становятся молодые люди, имеющие острую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потребность в быстрых и легких деньгах. К группе риска относятся студенты,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жители небольших населенных пунктов, приехавшие в крупные города, люди,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находящиеся в сложном финансовом положении (например, взявшие много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кредитов), иммигранты, иные уязвимые слои населения.</w:t>
      </w:r>
    </w:p>
    <w:p w14:paraId="2357DE91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Наличие оснований для привлечения таких лиц в большинстве случаев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к уголовной ответственности по статье 187 Уголовного кодекса Российской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Федерации (неправомерный оборот средств платежей) не освобождает их от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необходимости возмещать ущерб, что и заложено в основу привлечения их к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гражданско-правовой ответственности в судебном порядке.</w:t>
      </w:r>
    </w:p>
    <w:p w14:paraId="7D0219D8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Согласно пункту 1 статьи 1102 Гражданского кодекса Российской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Федерации лицо, которое без установленных законом, иными правовыми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актами или сделкой оснований приобрело или сберегло имущество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(приобретатель) за счёт другого лица (потерпевшего), обязано возвратить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последнему неосновательно приобретенное или сбереженное имущество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(неосновательное обогащение).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Юридически значимым обстоятельством при этом будет факт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приобретения ответчиком денежных средств потерпевшего, а также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отсутствие законных оснований для их приобретения либо иных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обстоятельств, в силу которых эти денежные средства не подлежат возврату.</w:t>
      </w:r>
    </w:p>
    <w:p w14:paraId="54A66403" w14:textId="77777777" w:rsidR="00DD2F67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Кроме того, согласно пункту 2 статьи 1107 Гражданского кодекса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Российской Федерации на сумму неосновательного денежного обогащения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подлежат начислению проценты за пользование чужими денежными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средствами с того времени, когда приобретатель должен был узнать о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неосновательности получения или сбережения денежных средств.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</w:p>
    <w:p w14:paraId="0E579A57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Такие иски предъявляются по месту нахождения ответчика (</w:t>
      </w:r>
      <w:proofErr w:type="spellStart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дроппера</w:t>
      </w:r>
      <w:proofErr w:type="spellEnd"/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)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11FB1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потерпевшими самостоятельно.</w:t>
      </w:r>
    </w:p>
    <w:p w14:paraId="51C8A783" w14:textId="77777777" w:rsidR="00DD2F67" w:rsidRPr="00DD2F67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 w:rsidRPr="00DD2F67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Прокурор в случаях, установленных частью 1 статьи 45 Гражданского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D2F67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процессуального кодекса Российской Федерации, вправе обратиться в суд в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D2F67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интересах потерпевшего, если он по состоянию здоровья, возрасту,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D2F67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недееспособности и другим уважительным причинам не может сам обратиться</w:t>
      </w:r>
      <w:r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 xml:space="preserve"> </w:t>
      </w:r>
      <w:r w:rsidRPr="00DD2F67"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  <w:t>с иском.</w:t>
      </w:r>
    </w:p>
    <w:p w14:paraId="19CF375E" w14:textId="77777777" w:rsidR="00DD2F67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Таким образом, законом установлена </w:t>
      </w:r>
      <w:proofErr w:type="spellStart"/>
      <w:r>
        <w:rPr>
          <w:rFonts w:eastAsia="Roboto" w:cs="Times New Roman"/>
          <w:color w:val="333333"/>
          <w:szCs w:val="28"/>
          <w:shd w:val="clear" w:color="auto" w:fill="FFFFFF"/>
        </w:rPr>
        <w:t>гражданско</w:t>
      </w:r>
      <w:proofErr w:type="spellEnd"/>
      <w:r>
        <w:rPr>
          <w:rFonts w:eastAsia="Roboto" w:cs="Times New Roman"/>
          <w:color w:val="333333"/>
          <w:szCs w:val="28"/>
          <w:shd w:val="clear" w:color="auto" w:fill="FFFFFF"/>
        </w:rPr>
        <w:t xml:space="preserve"> - правовая ответственность в виде возврата денежных средств, которые были </w:t>
      </w:r>
      <w:proofErr w:type="gramStart"/>
      <w:r>
        <w:rPr>
          <w:rFonts w:eastAsia="Roboto" w:cs="Times New Roman"/>
          <w:color w:val="333333"/>
          <w:szCs w:val="28"/>
          <w:shd w:val="clear" w:color="auto" w:fill="FFFFFF"/>
        </w:rPr>
        <w:t>получены  у</w:t>
      </w:r>
      <w:proofErr w:type="gramEnd"/>
      <w:r>
        <w:rPr>
          <w:rFonts w:eastAsia="Roboto" w:cs="Times New Roman"/>
          <w:color w:val="333333"/>
          <w:szCs w:val="28"/>
          <w:shd w:val="clear" w:color="auto" w:fill="FFFFFF"/>
        </w:rPr>
        <w:t xml:space="preserve"> граждан без оснований. </w:t>
      </w:r>
    </w:p>
    <w:p w14:paraId="3D8BBE68" w14:textId="77777777" w:rsidR="00DD2F67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lastRenderedPageBreak/>
        <w:t xml:space="preserve">В целях предотвращения вовлечения в преступную деятельность не следует никому сообщать данные своей банковской карты, передавать ее третьим лицам, переводить деньги по реквизитам, названным неизвестными собеседниками, а также снимать для них деньги в банкоматах. О подозрительных просьбах необходимо незамедлительно сообщать в правоохранительные органы. </w:t>
      </w:r>
    </w:p>
    <w:p w14:paraId="35146A88" w14:textId="77777777" w:rsidR="00DD2F67" w:rsidRPr="00D11FB1" w:rsidRDefault="00DD2F67" w:rsidP="00DD2F67">
      <w:pPr>
        <w:shd w:val="clear" w:color="auto" w:fill="FFFFFF"/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  <w:lang w:eastAsia="zh-CN" w:bidi="ar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Гражданам, ставшим жертвами мошенничества, необходимо знать их права, в том числе на возмещение причиненного ущерба.</w:t>
      </w:r>
    </w:p>
    <w:p w14:paraId="6B47B992" w14:textId="77777777" w:rsidR="00DD2F67" w:rsidRDefault="00DD2F67" w:rsidP="00DD2F67">
      <w:pPr>
        <w:jc w:val="both"/>
        <w:rPr>
          <w:rFonts w:cs="Times New Roman"/>
          <w:szCs w:val="28"/>
        </w:rPr>
      </w:pPr>
    </w:p>
    <w:p w14:paraId="07E8B80B" w14:textId="77777777" w:rsidR="00343C5F" w:rsidRDefault="00343C5F"/>
    <w:sectPr w:rsidR="00343C5F" w:rsidSect="00DD2F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67"/>
    <w:rsid w:val="0016699C"/>
    <w:rsid w:val="00343C5F"/>
    <w:rsid w:val="00DD2F67"/>
    <w:rsid w:val="00E60694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4D90"/>
  <w15:chartTrackingRefBased/>
  <w15:docId w15:val="{E686CCD1-B74A-437D-A269-B2F61D28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67"/>
    <w:pPr>
      <w:spacing w:after="0" w:line="240" w:lineRule="auto"/>
    </w:pPr>
    <w:rPr>
      <w:rFonts w:ascii="Times New Roman" w:hAnsi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F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F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F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F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F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F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F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F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F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F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F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F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F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F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F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F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F6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2F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F67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2F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2F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2025-11-14T09:02:00Z</dcterms:created>
  <dcterms:modified xsi:type="dcterms:W3CDTF">2025-11-14T09:02:00Z</dcterms:modified>
</cp:coreProperties>
</file>