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0E" w:rsidRDefault="005B3E0E">
      <w:pPr>
        <w:pStyle w:val="ConsPlusTitlePage"/>
      </w:pPr>
      <w:r>
        <w:t xml:space="preserve">Документ предоставлен </w:t>
      </w:r>
      <w:hyperlink r:id="rId5">
        <w:r>
          <w:rPr>
            <w:color w:val="0000FF"/>
          </w:rPr>
          <w:t>КонсультантПлюс</w:t>
        </w:r>
      </w:hyperlink>
      <w:r>
        <w:br/>
      </w:r>
    </w:p>
    <w:p w:rsidR="005B3E0E" w:rsidRDefault="005B3E0E">
      <w:pPr>
        <w:pStyle w:val="ConsPlusNormal"/>
        <w:outlineLvl w:val="0"/>
      </w:pPr>
    </w:p>
    <w:p w:rsidR="005B3E0E" w:rsidRDefault="005B3E0E">
      <w:pPr>
        <w:pStyle w:val="ConsPlusNormal"/>
        <w:ind w:firstLine="540"/>
        <w:jc w:val="both"/>
      </w:pPr>
      <w:r>
        <w:rPr>
          <w:b/>
        </w:rPr>
        <w:t>Вопрос:</w:t>
      </w:r>
      <w:r>
        <w:t xml:space="preserve"> В апреле 2026 г. работница вышла на работу после отпуска по уходу за ребенком до 1,5 года и в этом же месяце в течение трех рабочих дней проходит обязательный ежегодный медосмотр. При этом в расчетном периоде у работницы отсутствуют отработанные дни и заработок, учитываемые для расчета среднего заработка, сохраняемого на время медосмотра. Каким образом должен быть определен средний заработок, выплачиваемый работнице за период прохождения медосмотра?</w:t>
      </w:r>
    </w:p>
    <w:p w:rsidR="005B3E0E" w:rsidRDefault="005B3E0E">
      <w:pPr>
        <w:pStyle w:val="ConsPlusNormal"/>
      </w:pPr>
    </w:p>
    <w:p w:rsidR="005B3E0E" w:rsidRDefault="005B3E0E">
      <w:pPr>
        <w:pStyle w:val="ConsPlusNormal"/>
        <w:ind w:firstLine="540"/>
        <w:jc w:val="both"/>
      </w:pPr>
      <w:r>
        <w:rPr>
          <w:b/>
        </w:rPr>
        <w:t>Ответ:</w:t>
      </w:r>
    </w:p>
    <w:p w:rsidR="005B3E0E" w:rsidRDefault="005B3E0E">
      <w:pPr>
        <w:pStyle w:val="ConsPlusTitle"/>
        <w:spacing w:before="220"/>
        <w:jc w:val="center"/>
      </w:pPr>
      <w:r>
        <w:t>МИНИСТЕРСТВО ТРУДА И СОЦИАЛЬНОЙ ЗАЩИТЫ</w:t>
      </w:r>
    </w:p>
    <w:p w:rsidR="005B3E0E" w:rsidRDefault="005B3E0E">
      <w:pPr>
        <w:pStyle w:val="ConsPlusTitle"/>
        <w:jc w:val="center"/>
      </w:pPr>
      <w:r>
        <w:t>РОССИЙСКОЙ ФЕДЕРАЦИИ</w:t>
      </w:r>
    </w:p>
    <w:p w:rsidR="005B3E0E" w:rsidRDefault="005B3E0E">
      <w:pPr>
        <w:pStyle w:val="ConsPlusTitle"/>
        <w:jc w:val="center"/>
      </w:pPr>
    </w:p>
    <w:p w:rsidR="005B3E0E" w:rsidRDefault="005B3E0E">
      <w:pPr>
        <w:pStyle w:val="ConsPlusTitle"/>
        <w:jc w:val="center"/>
      </w:pPr>
      <w:r>
        <w:t>ПИСЬМО</w:t>
      </w:r>
    </w:p>
    <w:p w:rsidR="005B3E0E" w:rsidRDefault="005B3E0E">
      <w:pPr>
        <w:pStyle w:val="ConsPlusTitle"/>
        <w:jc w:val="center"/>
      </w:pPr>
      <w:r>
        <w:t>от 5 мая 2026 г. N 14-1/В-530</w:t>
      </w:r>
    </w:p>
    <w:p w:rsidR="005B3E0E" w:rsidRDefault="005B3E0E">
      <w:pPr>
        <w:pStyle w:val="ConsPlusNormal"/>
      </w:pPr>
    </w:p>
    <w:p w:rsidR="005B3E0E" w:rsidRDefault="005B3E0E">
      <w:pPr>
        <w:pStyle w:val="ConsPlusNormal"/>
        <w:ind w:firstLine="540"/>
        <w:jc w:val="both"/>
      </w:pPr>
      <w:r>
        <w:t>Департамент оплаты труда, трудовых отношений и социального партнерства Минтруда России рассмотрел письмо от 13 марта 2026 г. (вх. от 22 апреля 2026 г.) по вопросу расчета среднего заработка за период прохождения медицинского осмотра и по компетенции сообщает.</w:t>
      </w:r>
    </w:p>
    <w:p w:rsidR="005B3E0E" w:rsidRDefault="005B3E0E">
      <w:pPr>
        <w:pStyle w:val="ConsPlusNormal"/>
        <w:spacing w:before="220"/>
        <w:ind w:firstLine="540"/>
        <w:jc w:val="both"/>
      </w:pPr>
      <w:proofErr w:type="gramStart"/>
      <w:r>
        <w:t xml:space="preserve">В соответствии со </w:t>
      </w:r>
      <w:hyperlink r:id="rId6">
        <w:r>
          <w:rPr>
            <w:color w:val="0000FF"/>
          </w:rPr>
          <w:t>статьей 185</w:t>
        </w:r>
      </w:hyperlink>
      <w:r>
        <w:t xml:space="preserve"> Трудового кодекса Российской Федерации (далее - ТК РФ) 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roofErr w:type="gramEnd"/>
    </w:p>
    <w:p w:rsidR="005B3E0E" w:rsidRDefault="005B3E0E">
      <w:pPr>
        <w:pStyle w:val="ConsPlusNormal"/>
        <w:spacing w:before="220"/>
        <w:ind w:firstLine="540"/>
        <w:jc w:val="both"/>
      </w:pPr>
      <w:r>
        <w:t xml:space="preserve">Единый порядок исчисления среднего заработка для всех случаев, предусмотренных </w:t>
      </w:r>
      <w:hyperlink r:id="rId7">
        <w:r>
          <w:rPr>
            <w:color w:val="0000FF"/>
          </w:rPr>
          <w:t>ТК</w:t>
        </w:r>
      </w:hyperlink>
      <w:r>
        <w:t xml:space="preserve"> РФ, установлен </w:t>
      </w:r>
      <w:hyperlink r:id="rId8">
        <w:r>
          <w:rPr>
            <w:color w:val="0000FF"/>
          </w:rPr>
          <w:t>статьей 139</w:t>
        </w:r>
      </w:hyperlink>
      <w:r>
        <w:t xml:space="preserve"> ТК РФ и </w:t>
      </w:r>
      <w:hyperlink r:id="rId9">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 апреля 2025 г. N 540 (далее - Положение), вступившим в силу с 1 сентября 2025 г.</w:t>
      </w:r>
    </w:p>
    <w:p w:rsidR="005B3E0E" w:rsidRDefault="005B3E0E">
      <w:pPr>
        <w:pStyle w:val="ConsPlusNormal"/>
        <w:spacing w:before="220"/>
        <w:ind w:firstLine="540"/>
        <w:jc w:val="both"/>
      </w:pPr>
      <w:r>
        <w:t xml:space="preserve">Порядок исчисления среднего заработка, вступивший в силу с 1 сентября 2025 г., не устанавливает новых правил расчета, а сохраняет действовавший в соответствии с </w:t>
      </w:r>
      <w:hyperlink r:id="rId10">
        <w:r>
          <w:rPr>
            <w:color w:val="0000FF"/>
          </w:rPr>
          <w:t>постановлением</w:t>
        </w:r>
      </w:hyperlink>
      <w:r>
        <w:t xml:space="preserve"> Правительства Российской Федерации от 24 декабря 2007 г. N 922 подход с незначительными редакционными уточнениями формулировок.</w:t>
      </w:r>
    </w:p>
    <w:p w:rsidR="005B3E0E" w:rsidRDefault="005B3E0E">
      <w:pPr>
        <w:pStyle w:val="ConsPlusNormal"/>
        <w:spacing w:before="220"/>
        <w:ind w:firstLine="540"/>
        <w:jc w:val="both"/>
      </w:pPr>
      <w:r>
        <w:t xml:space="preserve">Согласно </w:t>
      </w:r>
      <w:hyperlink r:id="rId11">
        <w:r>
          <w:rPr>
            <w:color w:val="0000FF"/>
          </w:rPr>
          <w:t>пункту 2</w:t>
        </w:r>
      </w:hyperlink>
      <w:r>
        <w:t xml:space="preserve"> Положения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5B3E0E" w:rsidRDefault="005B3E0E">
      <w:pPr>
        <w:pStyle w:val="ConsPlusNormal"/>
        <w:spacing w:before="220"/>
        <w:ind w:firstLine="540"/>
        <w:jc w:val="both"/>
      </w:pPr>
      <w:r>
        <w:t xml:space="preserve">В соответствии с </w:t>
      </w:r>
      <w:hyperlink r:id="rId12">
        <w:r>
          <w:rPr>
            <w:color w:val="0000FF"/>
          </w:rPr>
          <w:t>частью 3 статьи 139</w:t>
        </w:r>
      </w:hyperlink>
      <w:r>
        <w:t xml:space="preserve"> ТК РФ и </w:t>
      </w:r>
      <w:hyperlink r:id="rId13">
        <w:r>
          <w:rPr>
            <w:color w:val="0000FF"/>
          </w:rPr>
          <w:t>пунктом 4</w:t>
        </w:r>
      </w:hyperlink>
      <w:r>
        <w:t xml:space="preserve"> Положения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5B3E0E" w:rsidRDefault="005B3E0E">
      <w:pPr>
        <w:pStyle w:val="ConsPlusNormal"/>
        <w:spacing w:before="220"/>
        <w:ind w:firstLine="540"/>
        <w:jc w:val="both"/>
      </w:pPr>
      <w:proofErr w:type="gramStart"/>
      <w:r>
        <w:t xml:space="preserve">В соответствии с </w:t>
      </w:r>
      <w:hyperlink r:id="rId14">
        <w:r>
          <w:rPr>
            <w:color w:val="0000FF"/>
          </w:rPr>
          <w:t>пунктом 6</w:t>
        </w:r>
      </w:hyperlink>
      <w:r>
        <w:t xml:space="preserve"> Положения, 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w:t>
      </w:r>
      <w:hyperlink r:id="rId15">
        <w:r>
          <w:rPr>
            <w:color w:val="0000FF"/>
          </w:rPr>
          <w:t>пунктом 5</w:t>
        </w:r>
      </w:hyperlink>
      <w:r>
        <w:t xml:space="preserve"> Положения, средний заработок определяется исходя из суммы заработной платы, фактически начисленной за предшествующий период, равный </w:t>
      </w:r>
      <w:r>
        <w:lastRenderedPageBreak/>
        <w:t>расчетному.</w:t>
      </w:r>
      <w:proofErr w:type="gramEnd"/>
    </w:p>
    <w:p w:rsidR="005B3E0E" w:rsidRDefault="005B3E0E">
      <w:pPr>
        <w:pStyle w:val="ConsPlusNormal"/>
        <w:spacing w:before="220"/>
        <w:ind w:firstLine="540"/>
        <w:jc w:val="both"/>
      </w:pPr>
      <w:proofErr w:type="gramStart"/>
      <w:r>
        <w:t xml:space="preserve">Согласно </w:t>
      </w:r>
      <w:hyperlink r:id="rId16">
        <w:r>
          <w:rPr>
            <w:color w:val="0000FF"/>
          </w:rPr>
          <w:t>пункту 7</w:t>
        </w:r>
      </w:hyperlink>
      <w:r>
        <w:t xml:space="preserve"> Положения, 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roofErr w:type="gramEnd"/>
    </w:p>
    <w:p w:rsidR="005B3E0E" w:rsidRDefault="005B3E0E">
      <w:pPr>
        <w:pStyle w:val="ConsPlusNormal"/>
        <w:spacing w:before="220"/>
        <w:ind w:firstLine="540"/>
        <w:jc w:val="both"/>
      </w:pPr>
      <w:r>
        <w:t xml:space="preserve">Согласно </w:t>
      </w:r>
      <w:hyperlink r:id="rId17">
        <w:r>
          <w:rPr>
            <w:color w:val="0000FF"/>
          </w:rPr>
          <w:t>пункту 8</w:t>
        </w:r>
      </w:hyperlink>
      <w:r>
        <w:t xml:space="preserve"> Положения,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rsidR="005B3E0E" w:rsidRDefault="005B3E0E">
      <w:pPr>
        <w:pStyle w:val="ConsPlusNormal"/>
        <w:spacing w:before="220"/>
        <w:ind w:firstLine="540"/>
        <w:jc w:val="both"/>
      </w:pPr>
      <w:r>
        <w:t xml:space="preserve">Таким образом, при отсутствии в расчетном периоде фактически отработанного времени и фактически начисленной заработной платы можно однократно </w:t>
      </w:r>
      <w:proofErr w:type="gramStart"/>
      <w:r>
        <w:t>заменить расчетный период на период</w:t>
      </w:r>
      <w:proofErr w:type="gramEnd"/>
      <w:r>
        <w:t>, предшествующий и равный ему.</w:t>
      </w:r>
    </w:p>
    <w:p w:rsidR="005B3E0E" w:rsidRDefault="005B3E0E">
      <w:pPr>
        <w:pStyle w:val="ConsPlusNormal"/>
        <w:spacing w:before="220"/>
        <w:ind w:firstLine="540"/>
        <w:jc w:val="both"/>
      </w:pPr>
      <w:r>
        <w:t xml:space="preserve">Если и в таком случае (при замене периода) у работника отсутствуют фактически отработанное время и фактически начисленная заработная плата, то применению подлежит </w:t>
      </w:r>
      <w:hyperlink r:id="rId18">
        <w:r>
          <w:rPr>
            <w:color w:val="0000FF"/>
          </w:rPr>
          <w:t>пункт 8</w:t>
        </w:r>
      </w:hyperlink>
      <w:r>
        <w:t xml:space="preserve"> Положения.</w:t>
      </w:r>
    </w:p>
    <w:p w:rsidR="005B3E0E" w:rsidRDefault="005B3E0E">
      <w:pPr>
        <w:pStyle w:val="ConsPlusNormal"/>
      </w:pPr>
    </w:p>
    <w:p w:rsidR="005B3E0E" w:rsidRDefault="005B3E0E">
      <w:pPr>
        <w:pStyle w:val="ConsPlusNormal"/>
        <w:jc w:val="right"/>
      </w:pPr>
      <w:r>
        <w:t>Директор Департамента</w:t>
      </w:r>
    </w:p>
    <w:p w:rsidR="005B3E0E" w:rsidRDefault="005B3E0E">
      <w:pPr>
        <w:pStyle w:val="ConsPlusNormal"/>
        <w:jc w:val="right"/>
      </w:pPr>
      <w:r>
        <w:t>оплаты труда, трудовых отношений</w:t>
      </w:r>
    </w:p>
    <w:p w:rsidR="005B3E0E" w:rsidRDefault="005B3E0E">
      <w:pPr>
        <w:pStyle w:val="ConsPlusNormal"/>
        <w:jc w:val="right"/>
      </w:pPr>
      <w:r>
        <w:t>и социального партнерства</w:t>
      </w:r>
    </w:p>
    <w:p w:rsidR="005B3E0E" w:rsidRDefault="005B3E0E">
      <w:pPr>
        <w:pStyle w:val="ConsPlusNormal"/>
        <w:jc w:val="right"/>
      </w:pPr>
      <w:r>
        <w:t>М.С.МАСЛОВА</w:t>
      </w:r>
    </w:p>
    <w:p w:rsidR="005B3E0E" w:rsidRDefault="005B3E0E">
      <w:pPr>
        <w:pStyle w:val="ConsPlusNormal"/>
      </w:pPr>
      <w:r>
        <w:t>05.05.2026</w:t>
      </w:r>
    </w:p>
    <w:p w:rsidR="005B3E0E" w:rsidRDefault="005B3E0E">
      <w:pPr>
        <w:pStyle w:val="ConsPlusNormal"/>
      </w:pPr>
    </w:p>
    <w:p w:rsidR="005B3E0E" w:rsidRDefault="005B3E0E">
      <w:pPr>
        <w:pStyle w:val="ConsPlusNormal"/>
      </w:pPr>
    </w:p>
    <w:p w:rsidR="005B3E0E" w:rsidRDefault="005B3E0E">
      <w:pPr>
        <w:pStyle w:val="ConsPlusNormal"/>
        <w:pBdr>
          <w:bottom w:val="single" w:sz="6" w:space="0" w:color="auto"/>
        </w:pBdr>
        <w:spacing w:before="100" w:after="100"/>
        <w:jc w:val="both"/>
        <w:rPr>
          <w:sz w:val="2"/>
          <w:szCs w:val="2"/>
        </w:rPr>
      </w:pPr>
    </w:p>
    <w:p w:rsidR="00B47049" w:rsidRDefault="00B47049">
      <w:bookmarkStart w:id="0" w:name="_GoBack"/>
      <w:bookmarkEnd w:id="0"/>
    </w:p>
    <w:sectPr w:rsidR="00B47049" w:rsidSect="00634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0E"/>
    <w:rsid w:val="005B3E0E"/>
    <w:rsid w:val="00B4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E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3E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3E0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E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3E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3E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100948" TargetMode="External"/><Relationship Id="rId13" Type="http://schemas.openxmlformats.org/officeDocument/2006/relationships/hyperlink" Target="https://login.consultant.ru/link/?req=doc&amp;base=LAW&amp;n=504093&amp;dst=100029" TargetMode="External"/><Relationship Id="rId18" Type="http://schemas.openxmlformats.org/officeDocument/2006/relationships/hyperlink" Target="https://login.consultant.ru/link/?req=doc&amp;base=LAW&amp;n=504093&amp;dst=100040" TargetMode="External"/><Relationship Id="rId3" Type="http://schemas.openxmlformats.org/officeDocument/2006/relationships/settings" Target="settings.xml"/><Relationship Id="rId7" Type="http://schemas.openxmlformats.org/officeDocument/2006/relationships/hyperlink" Target="https://login.consultant.ru/link/?req=doc&amp;base=LAW&amp;n=519026" TargetMode="External"/><Relationship Id="rId12" Type="http://schemas.openxmlformats.org/officeDocument/2006/relationships/hyperlink" Target="https://login.consultant.ru/link/?req=doc&amp;base=LAW&amp;n=519026&amp;dst=672" TargetMode="External"/><Relationship Id="rId17" Type="http://schemas.openxmlformats.org/officeDocument/2006/relationships/hyperlink" Target="https://login.consultant.ru/link/?req=doc&amp;base=LAW&amp;n=504093&amp;dst=10004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4093&amp;dst=10003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9026&amp;dst=2523" TargetMode="External"/><Relationship Id="rId11" Type="http://schemas.openxmlformats.org/officeDocument/2006/relationships/hyperlink" Target="https://login.consultant.ru/link/?req=doc&amp;base=LAW&amp;n=504093&amp;dst=10001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4093&amp;dst=100031" TargetMode="External"/><Relationship Id="rId10" Type="http://schemas.openxmlformats.org/officeDocument/2006/relationships/hyperlink" Target="https://login.consultant.ru/link/?req=doc&amp;base=LAW&amp;n=208761&amp;dst=1000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4093&amp;dst=100011" TargetMode="External"/><Relationship Id="rId14" Type="http://schemas.openxmlformats.org/officeDocument/2006/relationships/hyperlink" Target="https://login.consultant.ru/link/?req=doc&amp;base=LAW&amp;n=504093&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4760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2026-05-19T08:14:00Z</dcterms:created>
  <dcterms:modified xsi:type="dcterms:W3CDTF">2026-05-19T08:18:00Z</dcterms:modified>
</cp:coreProperties>
</file>