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C4" w:rsidRDefault="00BB27C4">
      <w:pPr>
        <w:pStyle w:val="ConsPlusTitlePage"/>
      </w:pPr>
      <w:r>
        <w:t xml:space="preserve">Документ предоставлен </w:t>
      </w:r>
      <w:hyperlink r:id="rId5">
        <w:r>
          <w:rPr>
            <w:color w:val="0000FF"/>
          </w:rPr>
          <w:t>КонсультантПлюс</w:t>
        </w:r>
      </w:hyperlink>
      <w:r>
        <w:br/>
      </w:r>
    </w:p>
    <w:p w:rsidR="00BB27C4" w:rsidRDefault="00BB27C4">
      <w:pPr>
        <w:pStyle w:val="ConsPlusNormal"/>
        <w:outlineLvl w:val="0"/>
      </w:pPr>
    </w:p>
    <w:p w:rsidR="00BB27C4" w:rsidRDefault="00BB27C4">
      <w:pPr>
        <w:pStyle w:val="ConsPlusNormal"/>
        <w:ind w:firstLine="540"/>
        <w:jc w:val="both"/>
      </w:pPr>
      <w:r>
        <w:rPr>
          <w:b/>
        </w:rPr>
        <w:t>Вопрос:</w:t>
      </w:r>
      <w:r>
        <w:t xml:space="preserve"> Работник был переведен на другую работу без его согласия сроком на один месяц по основанию, предусмотренному </w:t>
      </w:r>
      <w:hyperlink r:id="rId6">
        <w:r>
          <w:rPr>
            <w:color w:val="0000FF"/>
          </w:rPr>
          <w:t>ч. 2 ст. 72.2</w:t>
        </w:r>
      </w:hyperlink>
      <w:r>
        <w:t xml:space="preserve"> ТК РФ. Можно ли по окончании этого перевода снова перевести работника на то же место сроком на один месяц, если обстоятельства, явившиеся основанием для первого перевода, сохраняются?</w:t>
      </w:r>
    </w:p>
    <w:p w:rsidR="00BB27C4" w:rsidRDefault="00BB27C4">
      <w:pPr>
        <w:pStyle w:val="ConsPlusNormal"/>
        <w:spacing w:before="220"/>
        <w:ind w:firstLine="540"/>
        <w:jc w:val="both"/>
      </w:pPr>
      <w:r>
        <w:t xml:space="preserve">Может ли работодатель при временном переводе работника в случаях, предусмотренных </w:t>
      </w:r>
      <w:hyperlink r:id="rId7">
        <w:r>
          <w:rPr>
            <w:color w:val="0000FF"/>
          </w:rPr>
          <w:t>ч. 2</w:t>
        </w:r>
      </w:hyperlink>
      <w:r>
        <w:t xml:space="preserve"> и </w:t>
      </w:r>
      <w:hyperlink r:id="rId8">
        <w:r>
          <w:rPr>
            <w:color w:val="0000FF"/>
          </w:rPr>
          <w:t>3 ст. 72.2</w:t>
        </w:r>
      </w:hyperlink>
      <w:r>
        <w:t xml:space="preserve"> ТК РФ, также изменить режим его рабочего времени?</w:t>
      </w:r>
    </w:p>
    <w:p w:rsidR="00BB27C4" w:rsidRDefault="00BB27C4">
      <w:pPr>
        <w:pStyle w:val="ConsPlusNormal"/>
        <w:spacing w:before="220"/>
        <w:ind w:firstLine="540"/>
        <w:jc w:val="both"/>
      </w:pPr>
      <w:r>
        <w:t xml:space="preserve">Может ли работодатель в случаях, предусмотренных </w:t>
      </w:r>
      <w:hyperlink r:id="rId9">
        <w:r>
          <w:rPr>
            <w:color w:val="0000FF"/>
          </w:rPr>
          <w:t>ч. 2</w:t>
        </w:r>
      </w:hyperlink>
      <w:r>
        <w:t xml:space="preserve"> и </w:t>
      </w:r>
      <w:hyperlink r:id="rId10">
        <w:r>
          <w:rPr>
            <w:color w:val="0000FF"/>
          </w:rPr>
          <w:t>3 ст. 72.2</w:t>
        </w:r>
      </w:hyperlink>
      <w:r>
        <w:t xml:space="preserve"> ТК РФ, временно перевести работника без его согласия на работу в другую местность?</w:t>
      </w:r>
    </w:p>
    <w:p w:rsidR="00BB27C4" w:rsidRDefault="00BB27C4">
      <w:pPr>
        <w:pStyle w:val="ConsPlusNormal"/>
      </w:pPr>
    </w:p>
    <w:p w:rsidR="00BB27C4" w:rsidRDefault="00BB27C4">
      <w:pPr>
        <w:pStyle w:val="ConsPlusNormal"/>
        <w:ind w:firstLine="540"/>
        <w:jc w:val="both"/>
      </w:pPr>
      <w:r>
        <w:rPr>
          <w:b/>
        </w:rPr>
        <w:t>Ответ:</w:t>
      </w:r>
    </w:p>
    <w:p w:rsidR="00BB27C4" w:rsidRDefault="00BB27C4">
      <w:pPr>
        <w:pStyle w:val="ConsPlusTitle"/>
        <w:spacing w:before="220"/>
        <w:jc w:val="center"/>
      </w:pPr>
      <w:r>
        <w:t>МИНИСТЕРСТВО ТРУДА И СОЦИАЛЬНОЙ ЗАЩИТЫ</w:t>
      </w:r>
    </w:p>
    <w:p w:rsidR="00BB27C4" w:rsidRDefault="00BB27C4">
      <w:pPr>
        <w:pStyle w:val="ConsPlusTitle"/>
        <w:jc w:val="center"/>
      </w:pPr>
      <w:r>
        <w:t>РОССИЙСКОЙ ФЕДЕРАЦИИ</w:t>
      </w:r>
    </w:p>
    <w:p w:rsidR="00BB27C4" w:rsidRDefault="00BB27C4">
      <w:pPr>
        <w:pStyle w:val="ConsPlusTitle"/>
        <w:jc w:val="center"/>
      </w:pPr>
    </w:p>
    <w:p w:rsidR="00BB27C4" w:rsidRDefault="00BB27C4">
      <w:pPr>
        <w:pStyle w:val="ConsPlusTitle"/>
        <w:jc w:val="center"/>
      </w:pPr>
      <w:r>
        <w:t>ПИСЬМО</w:t>
      </w:r>
    </w:p>
    <w:p w:rsidR="00BB27C4" w:rsidRDefault="00BB27C4">
      <w:pPr>
        <w:pStyle w:val="ConsPlusTitle"/>
        <w:jc w:val="center"/>
      </w:pPr>
      <w:r>
        <w:t>от 15 мая 2026 г. N 14-6/ООГ-2038</w:t>
      </w:r>
    </w:p>
    <w:p w:rsidR="00BB27C4" w:rsidRDefault="00BB27C4">
      <w:pPr>
        <w:pStyle w:val="ConsPlusNormal"/>
      </w:pPr>
    </w:p>
    <w:p w:rsidR="00BB27C4" w:rsidRDefault="00BB27C4">
      <w:pPr>
        <w:pStyle w:val="ConsPlusNormal"/>
        <w:ind w:firstLine="540"/>
        <w:jc w:val="both"/>
      </w:pPr>
      <w:r>
        <w:t>Департамент оплаты труда, трудовых отношений и социального партнерства Министерства труда и социальной защиты Российской Федерации рассмотрел Ваши обращения от 20 апреля 2026 г. N ОГ-12129, N ОГ-12130, N ОГ-12132 по вопросу о порядке оформления временного перевода работника и сообщает.</w:t>
      </w:r>
    </w:p>
    <w:p w:rsidR="00BB27C4" w:rsidRDefault="00BB27C4">
      <w:pPr>
        <w:pStyle w:val="ConsPlusNormal"/>
        <w:spacing w:before="220"/>
        <w:ind w:firstLine="540"/>
        <w:jc w:val="both"/>
      </w:pPr>
      <w:r>
        <w:t xml:space="preserve">В соответствии с </w:t>
      </w:r>
      <w:hyperlink r:id="rId11">
        <w:r>
          <w:rPr>
            <w:color w:val="0000FF"/>
          </w:rPr>
          <w:t>Положением</w:t>
        </w:r>
      </w:hyperlink>
      <w:r>
        <w:t xml:space="preserve"> о Министерстве труда и социальной защиты Российской Федерации, утвержденным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p>
    <w:p w:rsidR="00BB27C4" w:rsidRDefault="00BB27C4">
      <w:pPr>
        <w:pStyle w:val="ConsPlusNormal"/>
        <w:spacing w:before="220"/>
        <w:ind w:firstLine="540"/>
        <w:jc w:val="both"/>
      </w:pPr>
      <w:r>
        <w:t>Обращаем внимание, что письма департаментов Минтруда России содержат мнение специалистов по вопросам применения тех или иных положений нормативных правовых актов, регламентирующих правоотношения в установленных сферах. Данные письма не являются официальным разъяснением таких актов.</w:t>
      </w:r>
    </w:p>
    <w:p w:rsidR="00BB27C4" w:rsidRDefault="00BB27C4">
      <w:pPr>
        <w:pStyle w:val="ConsPlusNormal"/>
        <w:spacing w:before="220"/>
        <w:ind w:firstLine="540"/>
        <w:jc w:val="both"/>
      </w:pPr>
      <w:r>
        <w:t>Обязательным для внесения в трудовой договор в числе других является условие о трудовой функции (работе по должности в соответствии со штатным расписанием, профессии, специальности с указанием квалификации; конкретном виде поручаемой работы) (</w:t>
      </w:r>
      <w:hyperlink r:id="rId12">
        <w:r>
          <w:rPr>
            <w:color w:val="0000FF"/>
          </w:rPr>
          <w:t>статья 57</w:t>
        </w:r>
      </w:hyperlink>
      <w:r>
        <w:t xml:space="preserve"> Трудового кодекса Российской Федерации).</w:t>
      </w:r>
    </w:p>
    <w:p w:rsidR="00BB27C4" w:rsidRDefault="00BB27C4">
      <w:pPr>
        <w:pStyle w:val="ConsPlusNormal"/>
        <w:spacing w:before="220"/>
        <w:ind w:firstLine="540"/>
        <w:jc w:val="both"/>
      </w:pPr>
      <w:r>
        <w:t xml:space="preserve">Условия трудового договора обязательны к </w:t>
      </w:r>
      <w:proofErr w:type="gramStart"/>
      <w:r>
        <w:t>исполнению</w:t>
      </w:r>
      <w:proofErr w:type="gramEnd"/>
      <w:r>
        <w:t xml:space="preserve"> как работодателем, так и работником. Односторонний отказ от исполнения обязательства и одностороннее изменение его условий не допускаются.</w:t>
      </w:r>
    </w:p>
    <w:p w:rsidR="00BB27C4" w:rsidRDefault="00BB27C4">
      <w:pPr>
        <w:pStyle w:val="ConsPlusNormal"/>
        <w:spacing w:before="220"/>
        <w:ind w:firstLine="540"/>
        <w:jc w:val="both"/>
      </w:pPr>
      <w:proofErr w:type="gramStart"/>
      <w:r>
        <w:t xml:space="preserve">В соответствии со </w:t>
      </w:r>
      <w:hyperlink r:id="rId13">
        <w:r>
          <w:rPr>
            <w:color w:val="0000FF"/>
          </w:rPr>
          <w:t>статьей 72.1</w:t>
        </w:r>
      </w:hyperlink>
      <w:r>
        <w:t xml:space="preserve"> Трудового кодекса Российской Федерации (далее - Кодекс) переводом на другую работу является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другую работу в другую местность вместе с работодателем.</w:t>
      </w:r>
      <w:proofErr w:type="gramEnd"/>
    </w:p>
    <w:p w:rsidR="00BB27C4" w:rsidRDefault="00BB27C4">
      <w:pPr>
        <w:pStyle w:val="ConsPlusNormal"/>
        <w:spacing w:before="220"/>
        <w:ind w:firstLine="540"/>
        <w:jc w:val="both"/>
      </w:pPr>
      <w:r>
        <w:t>Под структурными подразделениями следует понимать как филиалы, представительства, так и отделы, цеха, участки и т.д., а под другой местностью - местность за пределами административно-территориальных границ соответствующего населенного пункта.</w:t>
      </w:r>
    </w:p>
    <w:p w:rsidR="00BB27C4" w:rsidRDefault="00BB27C4">
      <w:pPr>
        <w:pStyle w:val="ConsPlusNormal"/>
        <w:spacing w:before="220"/>
        <w:ind w:firstLine="540"/>
        <w:jc w:val="both"/>
      </w:pPr>
      <w:hyperlink r:id="rId14">
        <w:proofErr w:type="gramStart"/>
        <w:r>
          <w:rPr>
            <w:color w:val="0000FF"/>
          </w:rPr>
          <w:t>Частью 1 статьи 72.2</w:t>
        </w:r>
      </w:hyperlink>
      <w:r>
        <w:t xml:space="preserve"> Кодекса установлено, что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B27C4" w:rsidRDefault="00BB27C4">
      <w:pPr>
        <w:pStyle w:val="ConsPlusNormal"/>
        <w:spacing w:before="220"/>
        <w:ind w:firstLine="540"/>
        <w:jc w:val="both"/>
      </w:pPr>
      <w:proofErr w:type="gramStart"/>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t xml:space="preserve"> для предотвращения указанных случаев или устранения их последствий (</w:t>
      </w:r>
      <w:hyperlink r:id="rId15">
        <w:r>
          <w:rPr>
            <w:color w:val="0000FF"/>
          </w:rPr>
          <w:t>часть 2 статьи 72.2</w:t>
        </w:r>
      </w:hyperlink>
      <w:r>
        <w:t xml:space="preserve"> Кодекса).</w:t>
      </w:r>
    </w:p>
    <w:p w:rsidR="00BB27C4" w:rsidRDefault="00BB27C4">
      <w:pPr>
        <w:pStyle w:val="ConsPlusNormal"/>
        <w:spacing w:before="220"/>
        <w:ind w:firstLine="540"/>
        <w:jc w:val="both"/>
      </w:pPr>
      <w:proofErr w:type="gramStart"/>
      <w:r>
        <w:t xml:space="preserve">Из </w:t>
      </w:r>
      <w:hyperlink r:id="rId16">
        <w:r>
          <w:rPr>
            <w:color w:val="0000FF"/>
          </w:rPr>
          <w:t>части 3 статьи 72.2</w:t>
        </w:r>
      </w:hyperlink>
      <w:r>
        <w:t xml:space="preserve"> Кодекса следует, что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если простой вызван чрезвычайными обстоятельствами, указанными в </w:t>
      </w:r>
      <w:hyperlink r:id="rId17">
        <w:r>
          <w:rPr>
            <w:color w:val="0000FF"/>
          </w:rPr>
          <w:t>части 2 статьи 72.2</w:t>
        </w:r>
      </w:hyperlink>
      <w:r>
        <w:t xml:space="preserve"> Кодекса.</w:t>
      </w:r>
      <w:proofErr w:type="gramEnd"/>
      <w:r>
        <w:t xml:space="preserve"> При этом письменное согласие работника необходимо только при переводе на работу, требующую более низкой квалификации.</w:t>
      </w:r>
    </w:p>
    <w:p w:rsidR="00BB27C4" w:rsidRDefault="00BB27C4">
      <w:pPr>
        <w:pStyle w:val="ConsPlusNormal"/>
        <w:spacing w:before="220"/>
        <w:ind w:firstLine="540"/>
        <w:jc w:val="both"/>
      </w:pPr>
      <w:r>
        <w:t xml:space="preserve">При этом следует учитывать, что </w:t>
      </w:r>
      <w:hyperlink r:id="rId18">
        <w:r>
          <w:rPr>
            <w:color w:val="0000FF"/>
          </w:rPr>
          <w:t>Кодексом</w:t>
        </w:r>
      </w:hyperlink>
      <w:r>
        <w:t xml:space="preserve"> ограничение количества временных переводов работника без его согласия в случаях, предусмотренных </w:t>
      </w:r>
      <w:hyperlink r:id="rId19">
        <w:r>
          <w:rPr>
            <w:color w:val="0000FF"/>
          </w:rPr>
          <w:t>частями 2</w:t>
        </w:r>
      </w:hyperlink>
      <w:r>
        <w:t xml:space="preserve"> и </w:t>
      </w:r>
      <w:hyperlink r:id="rId20">
        <w:r>
          <w:rPr>
            <w:color w:val="0000FF"/>
          </w:rPr>
          <w:t>3 статьи 72.2</w:t>
        </w:r>
      </w:hyperlink>
      <w:r>
        <w:t xml:space="preserve"> Кодекса, не установлено.</w:t>
      </w:r>
    </w:p>
    <w:p w:rsidR="00BB27C4" w:rsidRDefault="00BB27C4">
      <w:pPr>
        <w:pStyle w:val="ConsPlusNormal"/>
        <w:spacing w:before="220"/>
        <w:ind w:firstLine="540"/>
        <w:jc w:val="both"/>
      </w:pPr>
      <w:r>
        <w:t>С нашей точки зрения, работодатель вправе оформить временный перевод на новый срок сразу после окончания предыдущего временного перевода.</w:t>
      </w:r>
    </w:p>
    <w:p w:rsidR="00BB27C4" w:rsidRDefault="00BB27C4">
      <w:pPr>
        <w:pStyle w:val="ConsPlusNormal"/>
        <w:spacing w:before="220"/>
        <w:ind w:firstLine="540"/>
        <w:jc w:val="both"/>
      </w:pPr>
      <w:r>
        <w:t>Представляется, что временный перевод работника без его согласия на срок до одного месяца может быть произведен при условии продолжения работы в той же местности, без изменений определенных сторонами условий трудового договора.</w:t>
      </w:r>
    </w:p>
    <w:p w:rsidR="00BB27C4" w:rsidRDefault="00BB27C4">
      <w:pPr>
        <w:pStyle w:val="ConsPlusNormal"/>
        <w:spacing w:before="220"/>
        <w:ind w:firstLine="540"/>
        <w:jc w:val="both"/>
      </w:pPr>
      <w:r>
        <w:t xml:space="preserve">Поскольку временный перевод работника в случаях, предусмотренных </w:t>
      </w:r>
      <w:hyperlink r:id="rId21">
        <w:r>
          <w:rPr>
            <w:color w:val="0000FF"/>
          </w:rPr>
          <w:t>частями 2</w:t>
        </w:r>
      </w:hyperlink>
      <w:r>
        <w:t xml:space="preserve"> и </w:t>
      </w:r>
      <w:hyperlink r:id="rId22">
        <w:r>
          <w:rPr>
            <w:color w:val="0000FF"/>
          </w:rPr>
          <w:t>3 статьи 72.2</w:t>
        </w:r>
      </w:hyperlink>
      <w:r>
        <w:t xml:space="preserve"> Кодекса, производится без согласия работника, дополнительное соглашение к трудовому договору может не заключаться.</w:t>
      </w:r>
    </w:p>
    <w:p w:rsidR="00BB27C4" w:rsidRDefault="00BB27C4">
      <w:pPr>
        <w:pStyle w:val="ConsPlusNormal"/>
        <w:spacing w:before="220"/>
        <w:ind w:firstLine="540"/>
        <w:jc w:val="both"/>
      </w:pPr>
      <w:r>
        <w:t>Минтруд России не наделен полномочием по определению правомочности действий сторон трудового договора.</w:t>
      </w:r>
    </w:p>
    <w:p w:rsidR="00BB27C4" w:rsidRDefault="00BB27C4">
      <w:pPr>
        <w:pStyle w:val="ConsPlusNormal"/>
        <w:spacing w:before="220"/>
        <w:ind w:firstLine="540"/>
        <w:jc w:val="both"/>
      </w:pPr>
      <w:r>
        <w:t>Работодатель в целях эффективной экономической деятельности и рационального управления имуществом самостоятельно, под свою ответственность принимает необходимые кадровые решения (подбор, расстановку, увольнение персонала) (</w:t>
      </w:r>
      <w:hyperlink r:id="rId23">
        <w:r>
          <w:rPr>
            <w:color w:val="0000FF"/>
          </w:rPr>
          <w:t>п. 10</w:t>
        </w:r>
      </w:hyperlink>
      <w:r>
        <w:t xml:space="preserve">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w:t>
      </w:r>
    </w:p>
    <w:p w:rsidR="00BB27C4" w:rsidRDefault="00BB27C4">
      <w:pPr>
        <w:pStyle w:val="ConsPlusNormal"/>
        <w:spacing w:before="220"/>
        <w:ind w:firstLine="540"/>
        <w:jc w:val="both"/>
      </w:pPr>
      <w:proofErr w:type="gramStart"/>
      <w:r>
        <w:t xml:space="preserve">В соответствии с </w:t>
      </w:r>
      <w:hyperlink r:id="rId24">
        <w:r>
          <w:rPr>
            <w:color w:val="0000FF"/>
          </w:rPr>
          <w:t>пунктом 5.5.4</w:t>
        </w:r>
      </w:hyperlink>
      <w:r>
        <w:t xml:space="preserve"> Положения о Федеральной службе по труду и занятости, утвержденного постановлением Правительства Российской Федерации от 30 июня 2004 г. N 324,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 осуществляет Федеральная служба по труду и занятости (Роструд).</w:t>
      </w:r>
      <w:proofErr w:type="gramEnd"/>
    </w:p>
    <w:p w:rsidR="00BB27C4" w:rsidRDefault="00BB27C4">
      <w:pPr>
        <w:pStyle w:val="ConsPlusNormal"/>
        <w:spacing w:before="220"/>
        <w:ind w:firstLine="540"/>
        <w:jc w:val="both"/>
      </w:pPr>
      <w:r>
        <w:t>Таким образом, в качестве работника, работодателя либо их представителей Вы вправе обратиться в Роструд и его территориальные органы за предоставлением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BB27C4" w:rsidRDefault="00BB27C4">
      <w:pPr>
        <w:pStyle w:val="ConsPlusNormal"/>
        <w:spacing w:before="220"/>
        <w:ind w:firstLine="540"/>
        <w:jc w:val="both"/>
      </w:pPr>
      <w:r>
        <w:t>Данное мнение Минтруда России не является разъяснением и нормативным правовым актом.</w:t>
      </w:r>
    </w:p>
    <w:p w:rsidR="00BB27C4" w:rsidRDefault="00BB27C4">
      <w:pPr>
        <w:pStyle w:val="ConsPlusNormal"/>
      </w:pPr>
    </w:p>
    <w:p w:rsidR="00BB27C4" w:rsidRDefault="00BB27C4">
      <w:pPr>
        <w:pStyle w:val="ConsPlusNormal"/>
        <w:jc w:val="right"/>
      </w:pPr>
      <w:r>
        <w:t>Заместитель директора Департамента</w:t>
      </w:r>
    </w:p>
    <w:p w:rsidR="00BB27C4" w:rsidRDefault="00BB27C4">
      <w:pPr>
        <w:pStyle w:val="ConsPlusNormal"/>
        <w:jc w:val="right"/>
      </w:pPr>
      <w:r>
        <w:t>оплаты труда, трудовых отношений</w:t>
      </w:r>
    </w:p>
    <w:p w:rsidR="00BB27C4" w:rsidRDefault="00BB27C4">
      <w:pPr>
        <w:pStyle w:val="ConsPlusNormal"/>
        <w:jc w:val="right"/>
      </w:pPr>
      <w:r>
        <w:t>и социального партнерства</w:t>
      </w:r>
    </w:p>
    <w:p w:rsidR="00BB27C4" w:rsidRDefault="00BB27C4">
      <w:pPr>
        <w:pStyle w:val="ConsPlusNormal"/>
        <w:jc w:val="right"/>
      </w:pPr>
      <w:r>
        <w:t>А.В.ФРОЛОВА</w:t>
      </w:r>
    </w:p>
    <w:p w:rsidR="00BB27C4" w:rsidRDefault="00BB27C4">
      <w:pPr>
        <w:pStyle w:val="ConsPlusNormal"/>
      </w:pPr>
      <w:r>
        <w:t>15.05.2026</w:t>
      </w:r>
    </w:p>
    <w:p w:rsidR="00BB27C4" w:rsidRDefault="00BB27C4">
      <w:pPr>
        <w:pStyle w:val="ConsPlusNormal"/>
      </w:pPr>
    </w:p>
    <w:p w:rsidR="00BB27C4" w:rsidRDefault="00BB27C4">
      <w:pPr>
        <w:pStyle w:val="ConsPlusNormal"/>
      </w:pPr>
    </w:p>
    <w:p w:rsidR="00BB27C4" w:rsidRDefault="00BB27C4">
      <w:pPr>
        <w:pStyle w:val="ConsPlusNormal"/>
        <w:pBdr>
          <w:bottom w:val="single" w:sz="6" w:space="0" w:color="auto"/>
        </w:pBdr>
        <w:spacing w:before="100" w:after="100"/>
        <w:jc w:val="both"/>
        <w:rPr>
          <w:sz w:val="2"/>
          <w:szCs w:val="2"/>
        </w:rPr>
      </w:pPr>
    </w:p>
    <w:p w:rsidR="00A36623" w:rsidRDefault="00A36623">
      <w:bookmarkStart w:id="0" w:name="_GoBack"/>
      <w:bookmarkEnd w:id="0"/>
    </w:p>
    <w:sectPr w:rsidR="00A36623" w:rsidSect="00824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C4"/>
    <w:rsid w:val="00A36623"/>
    <w:rsid w:val="00BB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2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27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2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27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450" TargetMode="External"/><Relationship Id="rId13" Type="http://schemas.openxmlformats.org/officeDocument/2006/relationships/hyperlink" Target="https://login.consultant.ru/link/?req=doc&amp;base=LAW&amp;n=519026&amp;dst=443" TargetMode="External"/><Relationship Id="rId18" Type="http://schemas.openxmlformats.org/officeDocument/2006/relationships/hyperlink" Target="https://login.consultant.ru/link/?req=doc&amp;base=LAW&amp;n=519026&amp;dst=4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519026&amp;dst=449" TargetMode="External"/><Relationship Id="rId7" Type="http://schemas.openxmlformats.org/officeDocument/2006/relationships/hyperlink" Target="https://login.consultant.ru/link/?req=doc&amp;base=LAW&amp;n=519026&amp;dst=449" TargetMode="External"/><Relationship Id="rId12" Type="http://schemas.openxmlformats.org/officeDocument/2006/relationships/hyperlink" Target="https://login.consultant.ru/link/?req=doc&amp;base=LAW&amp;n=519026&amp;dst=1839" TargetMode="External"/><Relationship Id="rId17" Type="http://schemas.openxmlformats.org/officeDocument/2006/relationships/hyperlink" Target="https://login.consultant.ru/link/?req=doc&amp;base=LAW&amp;n=519026&amp;dst=449"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9026&amp;dst=450" TargetMode="External"/><Relationship Id="rId20" Type="http://schemas.openxmlformats.org/officeDocument/2006/relationships/hyperlink" Target="https://login.consultant.ru/link/?req=doc&amp;base=LAW&amp;n=519026&amp;dst=450"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449" TargetMode="External"/><Relationship Id="rId11" Type="http://schemas.openxmlformats.org/officeDocument/2006/relationships/hyperlink" Target="https://login.consultant.ru/link/?req=doc&amp;base=LAW&amp;n=507476&amp;dst=100243" TargetMode="External"/><Relationship Id="rId24" Type="http://schemas.openxmlformats.org/officeDocument/2006/relationships/hyperlink" Target="https://login.consultant.ru/link/?req=doc&amp;base=LAW&amp;n=507474&amp;dst=5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9026&amp;dst=449" TargetMode="External"/><Relationship Id="rId23" Type="http://schemas.openxmlformats.org/officeDocument/2006/relationships/hyperlink" Target="https://login.consultant.ru/link/?req=doc&amp;base=LAW&amp;n=521287&amp;dst=100236" TargetMode="External"/><Relationship Id="rId10" Type="http://schemas.openxmlformats.org/officeDocument/2006/relationships/hyperlink" Target="https://login.consultant.ru/link/?req=doc&amp;base=LAW&amp;n=519026&amp;dst=450" TargetMode="External"/><Relationship Id="rId19" Type="http://schemas.openxmlformats.org/officeDocument/2006/relationships/hyperlink" Target="https://login.consultant.ru/link/?req=doc&amp;base=LAW&amp;n=519026&amp;dst=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449" TargetMode="External"/><Relationship Id="rId14" Type="http://schemas.openxmlformats.org/officeDocument/2006/relationships/hyperlink" Target="https://login.consultant.ru/link/?req=doc&amp;base=LAW&amp;n=519026&amp;dst=448" TargetMode="External"/><Relationship Id="rId22" Type="http://schemas.openxmlformats.org/officeDocument/2006/relationships/hyperlink" Target="https://login.consultant.ru/link/?req=doc&amp;base=LAW&amp;n=519026&amp;dst=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7242</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2026-07-02T12:16:00Z</dcterms:created>
  <dcterms:modified xsi:type="dcterms:W3CDTF">2026-07-02T12:17:00Z</dcterms:modified>
</cp:coreProperties>
</file>